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043" w:rsidRDefault="008B6043"/>
    <w:tbl>
      <w:tblPr>
        <w:tblStyle w:val="TableGrid"/>
        <w:tblW w:w="0" w:type="auto"/>
        <w:tblLook w:val="04A0" w:firstRow="1" w:lastRow="0" w:firstColumn="1" w:lastColumn="0" w:noHBand="0" w:noVBand="1"/>
      </w:tblPr>
      <w:tblGrid>
        <w:gridCol w:w="1743"/>
        <w:gridCol w:w="1743"/>
        <w:gridCol w:w="1743"/>
        <w:gridCol w:w="1743"/>
        <w:gridCol w:w="1744"/>
        <w:gridCol w:w="1744"/>
        <w:gridCol w:w="1301"/>
        <w:gridCol w:w="2187"/>
      </w:tblGrid>
      <w:tr w:rsidR="009A1E38" w:rsidTr="009A1E38">
        <w:tc>
          <w:tcPr>
            <w:tcW w:w="13948" w:type="dxa"/>
            <w:gridSpan w:val="8"/>
            <w:shd w:val="clear" w:color="auto" w:fill="5B9BD5" w:themeFill="accent1"/>
          </w:tcPr>
          <w:p w:rsidR="009A1E38" w:rsidRPr="009A1E38" w:rsidRDefault="009A1E38">
            <w:pPr>
              <w:rPr>
                <w:b/>
              </w:rPr>
            </w:pPr>
            <w:r w:rsidRPr="009A1E38">
              <w:rPr>
                <w:b/>
              </w:rPr>
              <w:t>Summary Information</w:t>
            </w:r>
          </w:p>
        </w:tc>
      </w:tr>
      <w:tr w:rsidR="009A1E38" w:rsidTr="002B1154">
        <w:tc>
          <w:tcPr>
            <w:tcW w:w="1743" w:type="dxa"/>
          </w:tcPr>
          <w:p w:rsidR="009A1E38" w:rsidRPr="009A1E38" w:rsidRDefault="009A1E38">
            <w:pPr>
              <w:rPr>
                <w:b/>
              </w:rPr>
            </w:pPr>
            <w:r w:rsidRPr="009A1E38">
              <w:rPr>
                <w:b/>
              </w:rPr>
              <w:t>School</w:t>
            </w:r>
          </w:p>
        </w:tc>
        <w:tc>
          <w:tcPr>
            <w:tcW w:w="1743" w:type="dxa"/>
          </w:tcPr>
          <w:p w:rsidR="009A1E38" w:rsidRDefault="009A1E38">
            <w:r>
              <w:t>Mount Carmel RCP</w:t>
            </w:r>
          </w:p>
        </w:tc>
        <w:tc>
          <w:tcPr>
            <w:tcW w:w="1743" w:type="dxa"/>
          </w:tcPr>
          <w:p w:rsidR="009A1E38" w:rsidRPr="009A1E38" w:rsidRDefault="009A1E38">
            <w:pPr>
              <w:rPr>
                <w:b/>
              </w:rPr>
            </w:pPr>
            <w:r w:rsidRPr="009A1E38">
              <w:rPr>
                <w:b/>
              </w:rPr>
              <w:t>Academic Year</w:t>
            </w:r>
          </w:p>
        </w:tc>
        <w:tc>
          <w:tcPr>
            <w:tcW w:w="1743" w:type="dxa"/>
          </w:tcPr>
          <w:p w:rsidR="009A1E38" w:rsidRDefault="009A1E38">
            <w:r>
              <w:t>2020- 2021</w:t>
            </w:r>
          </w:p>
        </w:tc>
        <w:tc>
          <w:tcPr>
            <w:tcW w:w="1744" w:type="dxa"/>
          </w:tcPr>
          <w:p w:rsidR="009A1E38" w:rsidRPr="009A1E38" w:rsidRDefault="009A1E38">
            <w:pPr>
              <w:rPr>
                <w:b/>
              </w:rPr>
            </w:pPr>
            <w:r w:rsidRPr="009A1E38">
              <w:rPr>
                <w:b/>
              </w:rPr>
              <w:t>Total Catch- Up Premium</w:t>
            </w:r>
          </w:p>
        </w:tc>
        <w:tc>
          <w:tcPr>
            <w:tcW w:w="1744" w:type="dxa"/>
          </w:tcPr>
          <w:p w:rsidR="009A1E38" w:rsidRDefault="009A1E38">
            <w:r>
              <w:t>£33,600</w:t>
            </w:r>
          </w:p>
        </w:tc>
        <w:tc>
          <w:tcPr>
            <w:tcW w:w="1301" w:type="dxa"/>
          </w:tcPr>
          <w:p w:rsidR="009A1E38" w:rsidRPr="009A1E38" w:rsidRDefault="009A1E38">
            <w:pPr>
              <w:rPr>
                <w:b/>
              </w:rPr>
            </w:pPr>
            <w:r w:rsidRPr="009A1E38">
              <w:rPr>
                <w:b/>
              </w:rPr>
              <w:t>Number of Pupils</w:t>
            </w:r>
          </w:p>
        </w:tc>
        <w:tc>
          <w:tcPr>
            <w:tcW w:w="2187" w:type="dxa"/>
          </w:tcPr>
          <w:p w:rsidR="002B1154" w:rsidRDefault="00536804">
            <w:r>
              <w:t>420</w:t>
            </w:r>
            <w:r w:rsidR="00B46229">
              <w:t xml:space="preserve"> ( Reception to Y6)</w:t>
            </w:r>
          </w:p>
        </w:tc>
      </w:tr>
    </w:tbl>
    <w:p w:rsidR="009A1E38" w:rsidRDefault="009A1E38"/>
    <w:tbl>
      <w:tblPr>
        <w:tblStyle w:val="TableGrid"/>
        <w:tblW w:w="0" w:type="auto"/>
        <w:tblLook w:val="04A0" w:firstRow="1" w:lastRow="0" w:firstColumn="1" w:lastColumn="0" w:noHBand="0" w:noVBand="1"/>
      </w:tblPr>
      <w:tblGrid>
        <w:gridCol w:w="2405"/>
        <w:gridCol w:w="4569"/>
        <w:gridCol w:w="6974"/>
      </w:tblGrid>
      <w:tr w:rsidR="009A1E38" w:rsidTr="009A1E38">
        <w:tc>
          <w:tcPr>
            <w:tcW w:w="13948" w:type="dxa"/>
            <w:gridSpan w:val="3"/>
            <w:shd w:val="clear" w:color="auto" w:fill="5B9BD5" w:themeFill="accent1"/>
          </w:tcPr>
          <w:p w:rsidR="009A1E38" w:rsidRDefault="009A1E38" w:rsidP="009A1E38">
            <w:r w:rsidRPr="009A1E38">
              <w:rPr>
                <w:b/>
              </w:rPr>
              <w:t>Guidance</w:t>
            </w:r>
          </w:p>
        </w:tc>
      </w:tr>
      <w:tr w:rsidR="009A1E38" w:rsidTr="009A1E38">
        <w:tc>
          <w:tcPr>
            <w:tcW w:w="13948" w:type="dxa"/>
            <w:gridSpan w:val="3"/>
          </w:tcPr>
          <w:p w:rsidR="009A1E38" w:rsidRDefault="009A1E38" w:rsidP="009A1E38">
            <w:r>
              <w:t xml:space="preserve">Children and young people across the country have experienced unprecedented disruption to their education as a result of coronavirus (COVID-19). Those from the most vulnerable and disadvantaged backgrounds will be among those hardest hit. The aggregate impact of lost time in education will be substantial, and the scale of our response must match the scale of the challenge. Schools’ allocations will be calculated on a per pupil basis, providing each mainstream school with a total of £80 for each pupil in </w:t>
            </w:r>
            <w:proofErr w:type="gramStart"/>
            <w:r>
              <w:t>years</w:t>
            </w:r>
            <w:proofErr w:type="gramEnd"/>
            <w:r>
              <w:t xml:space="preserve"> reception through to 11. 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tc>
      </w:tr>
      <w:tr w:rsidR="00A548D5" w:rsidTr="009A1E38">
        <w:tc>
          <w:tcPr>
            <w:tcW w:w="13948" w:type="dxa"/>
            <w:gridSpan w:val="3"/>
          </w:tcPr>
          <w:p w:rsidR="00A548D5" w:rsidRDefault="00A548D5" w:rsidP="009A1E38"/>
        </w:tc>
      </w:tr>
      <w:tr w:rsidR="009A1E38" w:rsidTr="002B1154">
        <w:tc>
          <w:tcPr>
            <w:tcW w:w="6974" w:type="dxa"/>
            <w:gridSpan w:val="2"/>
            <w:shd w:val="clear" w:color="auto" w:fill="5B9BD5" w:themeFill="accent1"/>
          </w:tcPr>
          <w:p w:rsidR="009A1E38" w:rsidRDefault="009A1E38">
            <w:r>
              <w:t>Use of Funds</w:t>
            </w:r>
          </w:p>
        </w:tc>
        <w:tc>
          <w:tcPr>
            <w:tcW w:w="6974" w:type="dxa"/>
            <w:shd w:val="clear" w:color="auto" w:fill="5B9BD5" w:themeFill="accent1"/>
          </w:tcPr>
          <w:p w:rsidR="009A1E38" w:rsidRDefault="002B1154">
            <w:r>
              <w:t>EEF Recommendations</w:t>
            </w:r>
          </w:p>
        </w:tc>
      </w:tr>
      <w:tr w:rsidR="009A1E38" w:rsidTr="009A1E38">
        <w:tc>
          <w:tcPr>
            <w:tcW w:w="6974" w:type="dxa"/>
            <w:gridSpan w:val="2"/>
          </w:tcPr>
          <w:p w:rsidR="002B1154" w:rsidRDefault="002B1154" w:rsidP="002B1154">
            <w:r>
              <w:t>Schools should use this funding for specific activities to support their pupils to catch up for lost teaching over the previous months, in line with the guidance on curriculum expectations for the next academic year.</w:t>
            </w:r>
          </w:p>
          <w:p w:rsidR="002B1154" w:rsidRDefault="002B1154" w:rsidP="002B1154"/>
          <w:p w:rsidR="002B1154" w:rsidRDefault="002B1154" w:rsidP="002B1154">
            <w:r>
              <w:t xml:space="preserve">Schools have the flexibility to spend their funding in the best way for their cohort and circumstances. </w:t>
            </w:r>
          </w:p>
          <w:p w:rsidR="002B1154" w:rsidRDefault="002B1154" w:rsidP="002B1154"/>
          <w:p w:rsidR="002B1154" w:rsidRDefault="002B1154" w:rsidP="002B1154">
            <w:r>
              <w:t xml:space="preserve">To support schools to make the best use of this funding, the </w:t>
            </w:r>
          </w:p>
          <w:p w:rsidR="002B1154" w:rsidRDefault="002B1154" w:rsidP="002B1154">
            <w:r>
              <w:t xml:space="preserve">Education Endowment Foundation (EEF) has published </w:t>
            </w:r>
          </w:p>
          <w:p w:rsidR="002B1154" w:rsidRDefault="002B1154" w:rsidP="002B1154">
            <w:r>
              <w:t xml:space="preserve">a coronavirus (COVID-19) support guide for schools with </w:t>
            </w:r>
          </w:p>
          <w:p w:rsidR="002B1154" w:rsidRDefault="002B1154" w:rsidP="002B1154">
            <w:r>
              <w:t xml:space="preserve">evidence-based approaches to catch up for all students. Schools </w:t>
            </w:r>
          </w:p>
          <w:p w:rsidR="002B1154" w:rsidRDefault="002B1154" w:rsidP="002B1154">
            <w:r>
              <w:t xml:space="preserve">should use this document to help them direct their additional </w:t>
            </w:r>
          </w:p>
          <w:p w:rsidR="009A1E38" w:rsidRDefault="002B1154" w:rsidP="002B1154">
            <w:r>
              <w:t>funding in the most effective way.</w:t>
            </w:r>
          </w:p>
        </w:tc>
        <w:tc>
          <w:tcPr>
            <w:tcW w:w="6974" w:type="dxa"/>
          </w:tcPr>
          <w:p w:rsidR="002B1154" w:rsidRDefault="002B1154" w:rsidP="002B1154">
            <w:r>
              <w:t>The EEF advises the following:</w:t>
            </w:r>
          </w:p>
          <w:p w:rsidR="002B1154" w:rsidRDefault="002B1154" w:rsidP="002B1154"/>
          <w:p w:rsidR="002B1154" w:rsidRDefault="002B1154" w:rsidP="002B1154">
            <w:r>
              <w:t xml:space="preserve">Teaching and whole school strategies </w:t>
            </w:r>
          </w:p>
          <w:p w:rsidR="002B1154" w:rsidRDefault="002B1154" w:rsidP="002B1154">
            <w:r>
              <w:rPr>
                <w:rFonts w:ascii="Segoe UI Symbol" w:hAnsi="Segoe UI Symbol" w:cs="Segoe UI Symbol"/>
              </w:rPr>
              <w:t>⮚</w:t>
            </w:r>
            <w:r>
              <w:t xml:space="preserve"> Supporting great teaching</w:t>
            </w:r>
          </w:p>
          <w:p w:rsidR="002B1154" w:rsidRDefault="002B1154" w:rsidP="002B1154">
            <w:r>
              <w:rPr>
                <w:rFonts w:ascii="Segoe UI Symbol" w:hAnsi="Segoe UI Symbol" w:cs="Segoe UI Symbol"/>
              </w:rPr>
              <w:t>⮚</w:t>
            </w:r>
            <w:r>
              <w:t xml:space="preserve"> Pupil assessment and feedback </w:t>
            </w:r>
          </w:p>
          <w:p w:rsidR="002B1154" w:rsidRDefault="002B1154" w:rsidP="002B1154">
            <w:r>
              <w:rPr>
                <w:rFonts w:ascii="Segoe UI Symbol" w:hAnsi="Segoe UI Symbol" w:cs="Segoe UI Symbol"/>
              </w:rPr>
              <w:t>⮚</w:t>
            </w:r>
            <w:r>
              <w:t xml:space="preserve"> Transition support</w:t>
            </w:r>
          </w:p>
          <w:p w:rsidR="002B1154" w:rsidRDefault="002B1154" w:rsidP="002B1154"/>
          <w:p w:rsidR="002B1154" w:rsidRDefault="002B1154" w:rsidP="002B1154">
            <w:r>
              <w:t xml:space="preserve">Targeted approaches </w:t>
            </w:r>
          </w:p>
          <w:p w:rsidR="002B1154" w:rsidRDefault="002B1154" w:rsidP="002B1154">
            <w:r>
              <w:rPr>
                <w:rFonts w:ascii="Segoe UI Symbol" w:hAnsi="Segoe UI Symbol" w:cs="Segoe UI Symbol"/>
              </w:rPr>
              <w:t>⮚</w:t>
            </w:r>
            <w:r>
              <w:t xml:space="preserve"> One to one and small group tuition </w:t>
            </w:r>
          </w:p>
          <w:p w:rsidR="002B1154" w:rsidRDefault="002B1154" w:rsidP="002B1154">
            <w:r>
              <w:rPr>
                <w:rFonts w:ascii="Segoe UI Symbol" w:hAnsi="Segoe UI Symbol" w:cs="Segoe UI Symbol"/>
              </w:rPr>
              <w:t>⮚</w:t>
            </w:r>
            <w:r>
              <w:t xml:space="preserve"> Intervention programmes </w:t>
            </w:r>
          </w:p>
          <w:p w:rsidR="002B1154" w:rsidRDefault="002B1154" w:rsidP="002B1154">
            <w:r>
              <w:rPr>
                <w:rFonts w:ascii="Segoe UI Symbol" w:hAnsi="Segoe UI Symbol" w:cs="Segoe UI Symbol"/>
              </w:rPr>
              <w:t>⮚</w:t>
            </w:r>
            <w:r>
              <w:t xml:space="preserve"> Extended school time</w:t>
            </w:r>
          </w:p>
          <w:p w:rsidR="002B1154" w:rsidRDefault="002B1154" w:rsidP="002B1154"/>
          <w:p w:rsidR="002B1154" w:rsidRDefault="002B1154" w:rsidP="002B1154">
            <w:r>
              <w:t xml:space="preserve">Wider strategies </w:t>
            </w:r>
          </w:p>
          <w:p w:rsidR="002B1154" w:rsidRDefault="002B1154" w:rsidP="002B1154">
            <w:r>
              <w:rPr>
                <w:rFonts w:ascii="Segoe UI Symbol" w:hAnsi="Segoe UI Symbol" w:cs="Segoe UI Symbol"/>
              </w:rPr>
              <w:t>⮚</w:t>
            </w:r>
            <w:r>
              <w:t xml:space="preserve"> Supporting parent and carers </w:t>
            </w:r>
          </w:p>
          <w:p w:rsidR="002B1154" w:rsidRDefault="002B1154" w:rsidP="002B1154">
            <w:r>
              <w:rPr>
                <w:rFonts w:ascii="Segoe UI Symbol" w:hAnsi="Segoe UI Symbol" w:cs="Segoe UI Symbol"/>
              </w:rPr>
              <w:t>⮚</w:t>
            </w:r>
            <w:r>
              <w:t xml:space="preserve"> Access to technology </w:t>
            </w:r>
          </w:p>
          <w:p w:rsidR="009A1E38" w:rsidRDefault="002B1154" w:rsidP="002B1154">
            <w:r>
              <w:rPr>
                <w:rFonts w:ascii="Segoe UI Symbol" w:hAnsi="Segoe UI Symbol" w:cs="Segoe UI Symbol"/>
              </w:rPr>
              <w:t>⮚</w:t>
            </w:r>
            <w:r>
              <w:t xml:space="preserve"> Summer support</w:t>
            </w:r>
          </w:p>
        </w:tc>
      </w:tr>
      <w:tr w:rsidR="002B1154" w:rsidTr="003B5962">
        <w:tc>
          <w:tcPr>
            <w:tcW w:w="13948" w:type="dxa"/>
            <w:gridSpan w:val="3"/>
            <w:shd w:val="clear" w:color="auto" w:fill="5B9BD5" w:themeFill="accent1"/>
          </w:tcPr>
          <w:p w:rsidR="002B1154" w:rsidRPr="003B5962" w:rsidRDefault="002B1154" w:rsidP="003B5962">
            <w:pPr>
              <w:shd w:val="clear" w:color="auto" w:fill="5B9BD5" w:themeFill="accent1"/>
              <w:rPr>
                <w:b/>
              </w:rPr>
            </w:pPr>
            <w:r w:rsidRPr="003B5962">
              <w:rPr>
                <w:b/>
              </w:rPr>
              <w:lastRenderedPageBreak/>
              <w:t xml:space="preserve">Identified </w:t>
            </w:r>
            <w:r w:rsidRPr="003B5962">
              <w:rPr>
                <w:b/>
                <w:shd w:val="clear" w:color="auto" w:fill="5B9BD5" w:themeFill="accent1"/>
              </w:rPr>
              <w:t>Impact of lockdown</w:t>
            </w:r>
            <w:r w:rsidRPr="003B5962">
              <w:rPr>
                <w:b/>
              </w:rPr>
              <w:t xml:space="preserve"> </w:t>
            </w:r>
          </w:p>
        </w:tc>
      </w:tr>
      <w:tr w:rsidR="002B1154" w:rsidTr="002B1154">
        <w:tc>
          <w:tcPr>
            <w:tcW w:w="2405" w:type="dxa"/>
          </w:tcPr>
          <w:p w:rsidR="002B1154" w:rsidRDefault="002B1154">
            <w:r>
              <w:t>Maths</w:t>
            </w:r>
          </w:p>
        </w:tc>
        <w:tc>
          <w:tcPr>
            <w:tcW w:w="11543" w:type="dxa"/>
            <w:gridSpan w:val="2"/>
          </w:tcPr>
          <w:p w:rsidR="002B1154" w:rsidRDefault="002B1154" w:rsidP="003B5962">
            <w:r>
              <w:t xml:space="preserve">Specific content has been missed, leading to gaps in learning and stalled sequencing of journeys. Children still have an appetite for maths and lockdown has not affected their attitudes however they are quite simply, ‘behind’. </w:t>
            </w:r>
            <w:r w:rsidR="003B5962">
              <w:t xml:space="preserve"> </w:t>
            </w:r>
            <w:r>
              <w:t xml:space="preserve">Recall of basic skills has suffered – children are not able to recall addition facts, times tables and have </w:t>
            </w:r>
            <w:r w:rsidR="003B5962">
              <w:t xml:space="preserve"> </w:t>
            </w:r>
            <w:r>
              <w:t>forgotten once taught calculation strategies.</w:t>
            </w:r>
          </w:p>
        </w:tc>
      </w:tr>
      <w:tr w:rsidR="002B1154" w:rsidTr="002B1154">
        <w:tc>
          <w:tcPr>
            <w:tcW w:w="2405" w:type="dxa"/>
          </w:tcPr>
          <w:p w:rsidR="002B1154" w:rsidRDefault="002B1154">
            <w:r>
              <w:t>Writing</w:t>
            </w:r>
          </w:p>
        </w:tc>
        <w:tc>
          <w:tcPr>
            <w:tcW w:w="11543" w:type="dxa"/>
            <w:gridSpan w:val="2"/>
          </w:tcPr>
          <w:p w:rsidR="002B1154" w:rsidRDefault="003B5962" w:rsidP="003B5962">
            <w:r>
              <w:t>Children haven’t necessarily missed ‘units’ of learning in the same way as Maths, however they have lost essential practising of writing skills. GAPs specific knowledge has suffered, leading to lack of fluency in writing. Those who have maintained writing throughout lockdown are less affected, however those who evidently didn’t write much have had to work additionally hard on writing stamina and improving their motivation due to the lack of fluency in their ability to write.</w:t>
            </w:r>
          </w:p>
        </w:tc>
      </w:tr>
      <w:tr w:rsidR="002B1154" w:rsidTr="002B1154">
        <w:tc>
          <w:tcPr>
            <w:tcW w:w="2405" w:type="dxa"/>
          </w:tcPr>
          <w:p w:rsidR="002B1154" w:rsidRDefault="002B1154">
            <w:r>
              <w:t>Reading</w:t>
            </w:r>
          </w:p>
        </w:tc>
        <w:tc>
          <w:tcPr>
            <w:tcW w:w="11543" w:type="dxa"/>
            <w:gridSpan w:val="2"/>
          </w:tcPr>
          <w:p w:rsidR="007B6EFD" w:rsidRDefault="007B6EFD" w:rsidP="003B5962">
            <w:r>
              <w:t>Children were not practising their phonics knowledge and applying with accuracy to improve their decoding/ blending and fluency overall</w:t>
            </w:r>
            <w:r w:rsidR="008C434B">
              <w:t>.</w:t>
            </w:r>
          </w:p>
          <w:p w:rsidR="002B1154" w:rsidRDefault="003B5962" w:rsidP="003B5962">
            <w:r>
              <w:t>Children accessed reading during lockdown more than any other subject. This is something that was more accessible for families and required less teacher input. However, children are less fluent in their reading and the gap between those children that read widely and those children who don’t is now increasingly wide.</w:t>
            </w:r>
          </w:p>
        </w:tc>
      </w:tr>
      <w:tr w:rsidR="002B1154" w:rsidTr="002B1154">
        <w:tc>
          <w:tcPr>
            <w:tcW w:w="2405" w:type="dxa"/>
          </w:tcPr>
          <w:p w:rsidR="002B1154" w:rsidRDefault="002B1154" w:rsidP="002B1154">
            <w:r>
              <w:t>Non- Core</w:t>
            </w:r>
          </w:p>
        </w:tc>
        <w:tc>
          <w:tcPr>
            <w:tcW w:w="11543" w:type="dxa"/>
            <w:gridSpan w:val="2"/>
          </w:tcPr>
          <w:p w:rsidR="002B1154" w:rsidRDefault="003B5962" w:rsidP="003B5962">
            <w:r>
              <w:t>There are now significant gaps in knowledge – whole units of work have not been taught meaning that children are less able to access pre-requisite knowledge when learning something new and they are less likely to make connections between concepts and themes throughout the curriculum. Children have also missed out on the curriculum experiences e.g. trips, visitors and powerful curriculum moments.</w:t>
            </w:r>
          </w:p>
        </w:tc>
      </w:tr>
    </w:tbl>
    <w:p w:rsidR="002B1154" w:rsidRDefault="002B1154"/>
    <w:tbl>
      <w:tblPr>
        <w:tblStyle w:val="TableGrid"/>
        <w:tblW w:w="0" w:type="auto"/>
        <w:tblLook w:val="04A0" w:firstRow="1" w:lastRow="0" w:firstColumn="1" w:lastColumn="0" w:noHBand="0" w:noVBand="1"/>
      </w:tblPr>
      <w:tblGrid>
        <w:gridCol w:w="13948"/>
      </w:tblGrid>
      <w:tr w:rsidR="007B6EFD" w:rsidTr="007B6EFD">
        <w:tc>
          <w:tcPr>
            <w:tcW w:w="13948" w:type="dxa"/>
            <w:shd w:val="clear" w:color="auto" w:fill="5B9BD5" w:themeFill="accent1"/>
          </w:tcPr>
          <w:p w:rsidR="007B6EFD" w:rsidRDefault="00337244">
            <w:pPr>
              <w:rPr>
                <w:b/>
              </w:rPr>
            </w:pPr>
            <w:r>
              <w:rPr>
                <w:b/>
              </w:rPr>
              <w:t xml:space="preserve">Impact of Covid related </w:t>
            </w:r>
            <w:proofErr w:type="gramStart"/>
            <w:r>
              <w:rPr>
                <w:b/>
              </w:rPr>
              <w:t>closures :</w:t>
            </w:r>
            <w:proofErr w:type="gramEnd"/>
            <w:r w:rsidR="00711721">
              <w:rPr>
                <w:b/>
              </w:rPr>
              <w:t xml:space="preserve"> </w:t>
            </w:r>
            <w:r>
              <w:rPr>
                <w:b/>
              </w:rPr>
              <w:t>Barriers to learning</w:t>
            </w:r>
            <w:r w:rsidR="00711721">
              <w:rPr>
                <w:b/>
              </w:rPr>
              <w:t xml:space="preserve"> at Mount Carmel</w:t>
            </w:r>
          </w:p>
          <w:p w:rsidR="00890E34" w:rsidRPr="007B6EFD" w:rsidRDefault="00890E34" w:rsidP="00890E34">
            <w:pPr>
              <w:tabs>
                <w:tab w:val="left" w:pos="1395"/>
              </w:tabs>
              <w:rPr>
                <w:b/>
              </w:rPr>
            </w:pPr>
            <w:r>
              <w:rPr>
                <w:b/>
              </w:rPr>
              <w:tab/>
            </w:r>
          </w:p>
        </w:tc>
      </w:tr>
      <w:tr w:rsidR="00890E34" w:rsidTr="00890E34">
        <w:tc>
          <w:tcPr>
            <w:tcW w:w="13948" w:type="dxa"/>
            <w:shd w:val="clear" w:color="auto" w:fill="auto"/>
          </w:tcPr>
          <w:p w:rsidR="00890E34" w:rsidRPr="00DC0917" w:rsidRDefault="00890E34" w:rsidP="00DC0917">
            <w:pPr>
              <w:pStyle w:val="ListParagraph"/>
              <w:numPr>
                <w:ilvl w:val="0"/>
                <w:numId w:val="2"/>
              </w:numPr>
              <w:tabs>
                <w:tab w:val="left" w:pos="2535"/>
              </w:tabs>
              <w:rPr>
                <w:b/>
              </w:rPr>
            </w:pPr>
            <w:r w:rsidRPr="00890E34">
              <w:rPr>
                <w:b/>
              </w:rPr>
              <w:t>Oral language skills on entry to school are low. This hinders reading, writing and phonics attainment in reception and KS1</w:t>
            </w:r>
            <w:r w:rsidR="00337244">
              <w:rPr>
                <w:b/>
              </w:rPr>
              <w:t>. Reduced time in nurseries and chi</w:t>
            </w:r>
            <w:r w:rsidR="00DC0917">
              <w:rPr>
                <w:b/>
              </w:rPr>
              <w:t xml:space="preserve">ldcare settings have exacerbated </w:t>
            </w:r>
            <w:r w:rsidR="00DC0917" w:rsidRPr="00DC0917">
              <w:rPr>
                <w:b/>
              </w:rPr>
              <w:t>this</w:t>
            </w:r>
            <w:r w:rsidR="00337244" w:rsidRPr="00DC0917">
              <w:rPr>
                <w:b/>
              </w:rPr>
              <w:t xml:space="preserve">. </w:t>
            </w:r>
          </w:p>
          <w:p w:rsidR="009306C9" w:rsidRDefault="00337244" w:rsidP="009306C9">
            <w:pPr>
              <w:pStyle w:val="ListParagraph"/>
              <w:numPr>
                <w:ilvl w:val="0"/>
                <w:numId w:val="2"/>
              </w:numPr>
              <w:tabs>
                <w:tab w:val="left" w:pos="2535"/>
              </w:tabs>
              <w:rPr>
                <w:b/>
              </w:rPr>
            </w:pPr>
            <w:r>
              <w:rPr>
                <w:b/>
              </w:rPr>
              <w:t>School readiness within the EYFS setting.</w:t>
            </w:r>
          </w:p>
          <w:p w:rsidR="00A026F5" w:rsidRDefault="00A026F5" w:rsidP="009306C9">
            <w:pPr>
              <w:pStyle w:val="ListParagraph"/>
              <w:numPr>
                <w:ilvl w:val="0"/>
                <w:numId w:val="2"/>
              </w:numPr>
              <w:tabs>
                <w:tab w:val="left" w:pos="2535"/>
              </w:tabs>
              <w:rPr>
                <w:b/>
              </w:rPr>
            </w:pPr>
            <w:r>
              <w:rPr>
                <w:b/>
              </w:rPr>
              <w:t xml:space="preserve">Lack of opportunity for transition within the EYFS setting resulted in a high </w:t>
            </w:r>
            <w:proofErr w:type="gramStart"/>
            <w:r>
              <w:rPr>
                <w:b/>
              </w:rPr>
              <w:t>level  of</w:t>
            </w:r>
            <w:proofErr w:type="gramEnd"/>
            <w:r>
              <w:rPr>
                <w:b/>
              </w:rPr>
              <w:t xml:space="preserve"> complex need that required</w:t>
            </w:r>
            <w:r w:rsidR="00DC0917">
              <w:rPr>
                <w:b/>
              </w:rPr>
              <w:t xml:space="preserve"> unplanned</w:t>
            </w:r>
            <w:r>
              <w:rPr>
                <w:b/>
              </w:rPr>
              <w:t xml:space="preserve"> additional support.</w:t>
            </w:r>
          </w:p>
          <w:p w:rsidR="00711721" w:rsidRDefault="00711721" w:rsidP="009306C9">
            <w:pPr>
              <w:pStyle w:val="ListParagraph"/>
              <w:numPr>
                <w:ilvl w:val="0"/>
                <w:numId w:val="2"/>
              </w:numPr>
              <w:tabs>
                <w:tab w:val="left" w:pos="2535"/>
              </w:tabs>
              <w:rPr>
                <w:b/>
              </w:rPr>
            </w:pPr>
            <w:r>
              <w:rPr>
                <w:b/>
              </w:rPr>
              <w:t>A number of children have struggled with mental health ads a result of school closure. To enable them to reach their potential they will need some additional support on their wellbeing.</w:t>
            </w:r>
          </w:p>
          <w:p w:rsidR="00890E34" w:rsidRDefault="009306C9" w:rsidP="009306C9">
            <w:pPr>
              <w:pStyle w:val="ListParagraph"/>
              <w:numPr>
                <w:ilvl w:val="0"/>
                <w:numId w:val="2"/>
              </w:numPr>
              <w:tabs>
                <w:tab w:val="left" w:pos="2535"/>
              </w:tabs>
              <w:rPr>
                <w:b/>
              </w:rPr>
            </w:pPr>
            <w:r>
              <w:rPr>
                <w:b/>
              </w:rPr>
              <w:t>Reading- Children were not practising their phonic knowledge and applying with accuracy to improve their decoding/ blending and fluency overall</w:t>
            </w:r>
            <w:r w:rsidR="00711721">
              <w:rPr>
                <w:b/>
              </w:rPr>
              <w:t xml:space="preserve">. Some children struggled to engage in reading tasks and reading for pleasure during school closure. </w:t>
            </w:r>
          </w:p>
          <w:p w:rsidR="00711721" w:rsidRDefault="00711721" w:rsidP="009306C9">
            <w:pPr>
              <w:pStyle w:val="ListParagraph"/>
              <w:numPr>
                <w:ilvl w:val="0"/>
                <w:numId w:val="2"/>
              </w:numPr>
              <w:tabs>
                <w:tab w:val="left" w:pos="2535"/>
              </w:tabs>
              <w:rPr>
                <w:b/>
              </w:rPr>
            </w:pPr>
            <w:r>
              <w:rPr>
                <w:b/>
              </w:rPr>
              <w:t xml:space="preserve">Knowledge and application of number facts are not as strong and embedded as they would have been for a small number of children.  </w:t>
            </w:r>
          </w:p>
          <w:p w:rsidR="009306C9" w:rsidRPr="009306C9" w:rsidRDefault="00DC0917" w:rsidP="009306C9">
            <w:pPr>
              <w:pStyle w:val="ListParagraph"/>
              <w:numPr>
                <w:ilvl w:val="0"/>
                <w:numId w:val="2"/>
              </w:numPr>
              <w:tabs>
                <w:tab w:val="left" w:pos="2535"/>
              </w:tabs>
              <w:rPr>
                <w:b/>
              </w:rPr>
            </w:pPr>
            <w:r>
              <w:rPr>
                <w:b/>
              </w:rPr>
              <w:t>Patchy p</w:t>
            </w:r>
            <w:r w:rsidR="009306C9">
              <w:rPr>
                <w:b/>
              </w:rPr>
              <w:t>arental engagement with remote learning</w:t>
            </w:r>
          </w:p>
          <w:p w:rsidR="00890E34" w:rsidRDefault="00890E34" w:rsidP="00890E34">
            <w:pPr>
              <w:pStyle w:val="ListParagraph"/>
              <w:numPr>
                <w:ilvl w:val="0"/>
                <w:numId w:val="2"/>
              </w:numPr>
              <w:tabs>
                <w:tab w:val="left" w:pos="2535"/>
              </w:tabs>
              <w:rPr>
                <w:b/>
              </w:rPr>
            </w:pPr>
            <w:r w:rsidRPr="00890E34">
              <w:rPr>
                <w:b/>
              </w:rPr>
              <w:lastRenderedPageBreak/>
              <w:t>Resilience children are less resilient and less willing to ‘have a go</w:t>
            </w:r>
            <w:r w:rsidR="00E47B84">
              <w:rPr>
                <w:b/>
              </w:rPr>
              <w:t>’</w:t>
            </w:r>
            <w:r w:rsidR="00337244">
              <w:rPr>
                <w:b/>
              </w:rPr>
              <w:t>.</w:t>
            </w:r>
            <w:r w:rsidR="009306C9">
              <w:rPr>
                <w:b/>
              </w:rPr>
              <w:t xml:space="preserve"> They are out of their routines and need</w:t>
            </w:r>
            <w:r w:rsidR="00711721">
              <w:rPr>
                <w:b/>
              </w:rPr>
              <w:t xml:space="preserve"> support focussing on their tasks and maintaining their stamina.</w:t>
            </w:r>
          </w:p>
          <w:p w:rsidR="009306C9" w:rsidRPr="00890E34" w:rsidRDefault="009306C9" w:rsidP="00711721">
            <w:pPr>
              <w:pStyle w:val="ListParagraph"/>
              <w:tabs>
                <w:tab w:val="left" w:pos="2535"/>
              </w:tabs>
              <w:rPr>
                <w:b/>
              </w:rPr>
            </w:pPr>
            <w:r>
              <w:rPr>
                <w:b/>
              </w:rPr>
              <w:t xml:space="preserve"> </w:t>
            </w:r>
          </w:p>
        </w:tc>
      </w:tr>
    </w:tbl>
    <w:p w:rsidR="008C434B" w:rsidRDefault="008C434B" w:rsidP="00890E34"/>
    <w:p w:rsidR="00757ABE" w:rsidRDefault="00757ABE" w:rsidP="00890E34">
      <w:r>
        <w:t xml:space="preserve">A tiered approach as recommended by the EEF </w:t>
      </w:r>
    </w:p>
    <w:tbl>
      <w:tblPr>
        <w:tblStyle w:val="TableGrid"/>
        <w:tblW w:w="0" w:type="auto"/>
        <w:tblLook w:val="04A0" w:firstRow="1" w:lastRow="0" w:firstColumn="1" w:lastColumn="0" w:noHBand="0" w:noVBand="1"/>
      </w:tblPr>
      <w:tblGrid>
        <w:gridCol w:w="2384"/>
        <w:gridCol w:w="10"/>
        <w:gridCol w:w="49"/>
        <w:gridCol w:w="2264"/>
        <w:gridCol w:w="125"/>
        <w:gridCol w:w="53"/>
        <w:gridCol w:w="2008"/>
        <w:gridCol w:w="60"/>
        <w:gridCol w:w="62"/>
        <w:gridCol w:w="2156"/>
        <w:gridCol w:w="75"/>
        <w:gridCol w:w="12"/>
        <w:gridCol w:w="2357"/>
        <w:gridCol w:w="42"/>
        <w:gridCol w:w="7"/>
        <w:gridCol w:w="2284"/>
      </w:tblGrid>
      <w:tr w:rsidR="00D27574" w:rsidTr="00D27574">
        <w:tc>
          <w:tcPr>
            <w:tcW w:w="13948" w:type="dxa"/>
            <w:gridSpan w:val="16"/>
            <w:shd w:val="clear" w:color="auto" w:fill="5B9BD5" w:themeFill="accent1"/>
          </w:tcPr>
          <w:p w:rsidR="00D27574" w:rsidRPr="00D27574" w:rsidRDefault="00D27574" w:rsidP="00D27574">
            <w:pPr>
              <w:jc w:val="center"/>
              <w:rPr>
                <w:b/>
              </w:rPr>
            </w:pPr>
            <w:r w:rsidRPr="00D27574">
              <w:rPr>
                <w:b/>
              </w:rPr>
              <w:t>Teaching and whole School Strategies</w:t>
            </w:r>
          </w:p>
        </w:tc>
      </w:tr>
      <w:tr w:rsidR="004B6B08" w:rsidRPr="00997919" w:rsidTr="004B6B08">
        <w:tc>
          <w:tcPr>
            <w:tcW w:w="2384" w:type="dxa"/>
            <w:shd w:val="clear" w:color="auto" w:fill="5B9BD5" w:themeFill="accent1"/>
          </w:tcPr>
          <w:p w:rsidR="004B6B08" w:rsidRPr="00997919" w:rsidRDefault="004B6B08" w:rsidP="00890E34">
            <w:pPr>
              <w:rPr>
                <w:b/>
              </w:rPr>
            </w:pPr>
            <w:r>
              <w:rPr>
                <w:b/>
              </w:rPr>
              <w:t>Desired Outcome</w:t>
            </w:r>
          </w:p>
        </w:tc>
        <w:tc>
          <w:tcPr>
            <w:tcW w:w="2323" w:type="dxa"/>
            <w:gridSpan w:val="3"/>
            <w:shd w:val="clear" w:color="auto" w:fill="5B9BD5" w:themeFill="accent1"/>
          </w:tcPr>
          <w:p w:rsidR="004B6B08" w:rsidRPr="00997919" w:rsidRDefault="004B6B08" w:rsidP="00890E34">
            <w:pPr>
              <w:rPr>
                <w:b/>
              </w:rPr>
            </w:pPr>
            <w:r>
              <w:rPr>
                <w:b/>
              </w:rPr>
              <w:t>Action</w:t>
            </w:r>
          </w:p>
        </w:tc>
        <w:tc>
          <w:tcPr>
            <w:tcW w:w="2186" w:type="dxa"/>
            <w:gridSpan w:val="3"/>
            <w:shd w:val="clear" w:color="auto" w:fill="5B9BD5" w:themeFill="accent1"/>
          </w:tcPr>
          <w:p w:rsidR="004B6B08" w:rsidRPr="00997919" w:rsidRDefault="004B6B08" w:rsidP="00890E34">
            <w:pPr>
              <w:rPr>
                <w:b/>
              </w:rPr>
            </w:pPr>
            <w:r>
              <w:rPr>
                <w:b/>
              </w:rPr>
              <w:t>Evidence</w:t>
            </w:r>
          </w:p>
        </w:tc>
        <w:tc>
          <w:tcPr>
            <w:tcW w:w="2278" w:type="dxa"/>
            <w:gridSpan w:val="3"/>
            <w:shd w:val="clear" w:color="auto" w:fill="5B9BD5" w:themeFill="accent1"/>
          </w:tcPr>
          <w:p w:rsidR="004B6B08" w:rsidRPr="00997919" w:rsidRDefault="004B6B08" w:rsidP="00890E34">
            <w:pPr>
              <w:rPr>
                <w:b/>
              </w:rPr>
            </w:pPr>
            <w:r w:rsidRPr="00997919">
              <w:rPr>
                <w:b/>
              </w:rPr>
              <w:t xml:space="preserve">Cost </w:t>
            </w:r>
          </w:p>
        </w:tc>
        <w:tc>
          <w:tcPr>
            <w:tcW w:w="2444" w:type="dxa"/>
            <w:gridSpan w:val="3"/>
            <w:shd w:val="clear" w:color="auto" w:fill="5B9BD5" w:themeFill="accent1"/>
          </w:tcPr>
          <w:p w:rsidR="004B6B08" w:rsidRPr="00997919" w:rsidRDefault="004B6B08" w:rsidP="00890E34">
            <w:pPr>
              <w:rPr>
                <w:b/>
              </w:rPr>
            </w:pPr>
            <w:r w:rsidRPr="00997919">
              <w:rPr>
                <w:b/>
              </w:rPr>
              <w:t xml:space="preserve">Person Responsible </w:t>
            </w:r>
          </w:p>
        </w:tc>
        <w:tc>
          <w:tcPr>
            <w:tcW w:w="2333" w:type="dxa"/>
            <w:gridSpan w:val="3"/>
            <w:shd w:val="clear" w:color="auto" w:fill="5B9BD5" w:themeFill="accent1"/>
          </w:tcPr>
          <w:p w:rsidR="004B6B08" w:rsidRPr="00997919" w:rsidRDefault="004B6B08" w:rsidP="00890E34">
            <w:pPr>
              <w:rPr>
                <w:b/>
              </w:rPr>
            </w:pPr>
            <w:r w:rsidRPr="00997919">
              <w:rPr>
                <w:b/>
              </w:rPr>
              <w:t xml:space="preserve">Impact </w:t>
            </w:r>
          </w:p>
        </w:tc>
      </w:tr>
      <w:tr w:rsidR="004B6B08" w:rsidRPr="00997919" w:rsidTr="004B6B08">
        <w:tc>
          <w:tcPr>
            <w:tcW w:w="2384" w:type="dxa"/>
          </w:tcPr>
          <w:p w:rsidR="00D12CA3" w:rsidRDefault="00D12CA3" w:rsidP="00D12CA3">
            <w:r>
              <w:t xml:space="preserve">Teachers have a very clear understanding of what gaps in learning remain </w:t>
            </w:r>
          </w:p>
          <w:p w:rsidR="00D12CA3" w:rsidRDefault="00D12CA3" w:rsidP="00D12CA3">
            <w:r>
              <w:t>and use this to inform assessments of learning</w:t>
            </w:r>
            <w:r w:rsidR="003065C9">
              <w:t>-  G</w:t>
            </w:r>
            <w:r>
              <w:t xml:space="preserve">iving a greater degree in confidence and accuracy of </w:t>
            </w:r>
          </w:p>
          <w:p w:rsidR="004B6B08" w:rsidRPr="00043346" w:rsidRDefault="00D12CA3" w:rsidP="00D12CA3">
            <w:r>
              <w:t>assessments.</w:t>
            </w:r>
          </w:p>
        </w:tc>
        <w:tc>
          <w:tcPr>
            <w:tcW w:w="2323" w:type="dxa"/>
            <w:gridSpan w:val="3"/>
          </w:tcPr>
          <w:p w:rsidR="004B6B08" w:rsidRDefault="00D12CA3" w:rsidP="004B6B08">
            <w:r>
              <w:t xml:space="preserve">September- Teachers baseline the children through mini quizzes and teacher assessment – followed by pupil progress in Autumn 1. </w:t>
            </w:r>
          </w:p>
          <w:p w:rsidR="00D12CA3" w:rsidRDefault="00D12CA3" w:rsidP="004B6B08"/>
          <w:p w:rsidR="00D12CA3" w:rsidRDefault="00D12CA3" w:rsidP="004B6B08">
            <w:r>
              <w:t>GL</w:t>
            </w:r>
            <w:r w:rsidR="003065C9">
              <w:t xml:space="preserve"> Assessments WK 10, 20 and 30 to </w:t>
            </w:r>
            <w:r w:rsidR="000D648D">
              <w:t>show progress followed by pupil progress.</w:t>
            </w:r>
          </w:p>
          <w:p w:rsidR="003065C9" w:rsidRDefault="003065C9" w:rsidP="004B6B08"/>
          <w:p w:rsidR="003065C9" w:rsidRDefault="003065C9" w:rsidP="004B6B08">
            <w:r>
              <w:t xml:space="preserve">Results are used to plan intervention groups </w:t>
            </w:r>
          </w:p>
          <w:p w:rsidR="00D12CA3" w:rsidRDefault="00D12CA3" w:rsidP="004B6B08"/>
          <w:p w:rsidR="00D12CA3" w:rsidRDefault="00D12CA3" w:rsidP="004B6B08"/>
        </w:tc>
        <w:tc>
          <w:tcPr>
            <w:tcW w:w="2186" w:type="dxa"/>
            <w:gridSpan w:val="3"/>
          </w:tcPr>
          <w:p w:rsidR="004B6B08" w:rsidRDefault="00D12CA3" w:rsidP="004B6B08">
            <w:r>
              <w:t>Assessments</w:t>
            </w:r>
          </w:p>
          <w:p w:rsidR="00D12CA3" w:rsidRDefault="00D12CA3" w:rsidP="004B6B08"/>
          <w:p w:rsidR="00D12CA3" w:rsidRDefault="00D12CA3" w:rsidP="004B6B08">
            <w:r>
              <w:t>Ongoing monitoring cycle</w:t>
            </w:r>
          </w:p>
        </w:tc>
        <w:tc>
          <w:tcPr>
            <w:tcW w:w="2278" w:type="dxa"/>
            <w:gridSpan w:val="3"/>
          </w:tcPr>
          <w:p w:rsidR="004B6B08" w:rsidRDefault="00B102DB" w:rsidP="004B6B08">
            <w:r>
              <w:t>(None initially)</w:t>
            </w:r>
          </w:p>
        </w:tc>
        <w:tc>
          <w:tcPr>
            <w:tcW w:w="2444" w:type="dxa"/>
            <w:gridSpan w:val="3"/>
          </w:tcPr>
          <w:p w:rsidR="004B6B08" w:rsidRDefault="000D648D" w:rsidP="004B6B08">
            <w:r>
              <w:t>SLT</w:t>
            </w:r>
          </w:p>
        </w:tc>
        <w:tc>
          <w:tcPr>
            <w:tcW w:w="2333" w:type="dxa"/>
            <w:gridSpan w:val="3"/>
          </w:tcPr>
          <w:p w:rsidR="004B6B08" w:rsidRDefault="004B6B08" w:rsidP="004B6B08"/>
        </w:tc>
      </w:tr>
      <w:tr w:rsidR="004E2142" w:rsidTr="004E2142">
        <w:tc>
          <w:tcPr>
            <w:tcW w:w="13948" w:type="dxa"/>
            <w:gridSpan w:val="16"/>
            <w:shd w:val="clear" w:color="auto" w:fill="5B9BD5" w:themeFill="accent1"/>
          </w:tcPr>
          <w:p w:rsidR="004E2142" w:rsidRDefault="004E2142" w:rsidP="004E2142">
            <w:pPr>
              <w:jc w:val="center"/>
              <w:rPr>
                <w:b/>
              </w:rPr>
            </w:pPr>
            <w:r>
              <w:rPr>
                <w:b/>
              </w:rPr>
              <w:t>Targeted Approaches</w:t>
            </w:r>
          </w:p>
        </w:tc>
      </w:tr>
      <w:tr w:rsidR="00724E7A" w:rsidRPr="00997919" w:rsidTr="004E2142">
        <w:tc>
          <w:tcPr>
            <w:tcW w:w="2443" w:type="dxa"/>
            <w:gridSpan w:val="3"/>
            <w:shd w:val="clear" w:color="auto" w:fill="5B9BD5" w:themeFill="accent1"/>
          </w:tcPr>
          <w:p w:rsidR="00724E7A" w:rsidRPr="00997919" w:rsidRDefault="00724E7A" w:rsidP="00653A9B">
            <w:pPr>
              <w:rPr>
                <w:b/>
              </w:rPr>
            </w:pPr>
            <w:r>
              <w:rPr>
                <w:b/>
              </w:rPr>
              <w:t>Desired Outcome</w:t>
            </w:r>
          </w:p>
        </w:tc>
        <w:tc>
          <w:tcPr>
            <w:tcW w:w="2442" w:type="dxa"/>
            <w:gridSpan w:val="3"/>
            <w:shd w:val="clear" w:color="auto" w:fill="5B9BD5" w:themeFill="accent1"/>
          </w:tcPr>
          <w:p w:rsidR="00724E7A" w:rsidRPr="00997919" w:rsidRDefault="00724E7A" w:rsidP="00653A9B">
            <w:pPr>
              <w:rPr>
                <w:b/>
              </w:rPr>
            </w:pPr>
            <w:r>
              <w:rPr>
                <w:b/>
              </w:rPr>
              <w:t>Action</w:t>
            </w:r>
          </w:p>
        </w:tc>
        <w:tc>
          <w:tcPr>
            <w:tcW w:w="2130" w:type="dxa"/>
            <w:gridSpan w:val="3"/>
            <w:shd w:val="clear" w:color="auto" w:fill="5B9BD5" w:themeFill="accent1"/>
          </w:tcPr>
          <w:p w:rsidR="00724E7A" w:rsidRPr="00997919" w:rsidRDefault="00724E7A" w:rsidP="00653A9B">
            <w:pPr>
              <w:rPr>
                <w:b/>
              </w:rPr>
            </w:pPr>
            <w:r>
              <w:rPr>
                <w:b/>
              </w:rPr>
              <w:t>Evidence</w:t>
            </w:r>
          </w:p>
        </w:tc>
        <w:tc>
          <w:tcPr>
            <w:tcW w:w="2231" w:type="dxa"/>
            <w:gridSpan w:val="2"/>
            <w:shd w:val="clear" w:color="auto" w:fill="5B9BD5" w:themeFill="accent1"/>
          </w:tcPr>
          <w:p w:rsidR="00724E7A" w:rsidRPr="00997919" w:rsidRDefault="00724E7A" w:rsidP="00653A9B">
            <w:pPr>
              <w:rPr>
                <w:b/>
              </w:rPr>
            </w:pPr>
            <w:r w:rsidRPr="00997919">
              <w:rPr>
                <w:b/>
              </w:rPr>
              <w:t xml:space="preserve">Cost </w:t>
            </w:r>
          </w:p>
        </w:tc>
        <w:tc>
          <w:tcPr>
            <w:tcW w:w="2411" w:type="dxa"/>
            <w:gridSpan w:val="3"/>
            <w:shd w:val="clear" w:color="auto" w:fill="5B9BD5" w:themeFill="accent1"/>
          </w:tcPr>
          <w:p w:rsidR="00724E7A" w:rsidRPr="00997919" w:rsidRDefault="00724E7A" w:rsidP="00653A9B">
            <w:pPr>
              <w:rPr>
                <w:b/>
              </w:rPr>
            </w:pPr>
            <w:r w:rsidRPr="00997919">
              <w:rPr>
                <w:b/>
              </w:rPr>
              <w:t xml:space="preserve">Person Responsible </w:t>
            </w:r>
          </w:p>
        </w:tc>
        <w:tc>
          <w:tcPr>
            <w:tcW w:w="2291" w:type="dxa"/>
            <w:gridSpan w:val="2"/>
            <w:shd w:val="clear" w:color="auto" w:fill="5B9BD5" w:themeFill="accent1"/>
          </w:tcPr>
          <w:p w:rsidR="00724E7A" w:rsidRPr="00997919" w:rsidRDefault="00724E7A" w:rsidP="00653A9B">
            <w:pPr>
              <w:rPr>
                <w:b/>
              </w:rPr>
            </w:pPr>
            <w:r w:rsidRPr="00997919">
              <w:rPr>
                <w:b/>
              </w:rPr>
              <w:t xml:space="preserve">Impact </w:t>
            </w:r>
          </w:p>
        </w:tc>
      </w:tr>
      <w:tr w:rsidR="00724E7A" w:rsidRPr="00997919" w:rsidTr="004E2142">
        <w:tc>
          <w:tcPr>
            <w:tcW w:w="2443" w:type="dxa"/>
            <w:gridSpan w:val="3"/>
          </w:tcPr>
          <w:p w:rsidR="00724E7A" w:rsidRDefault="00FD0B63" w:rsidP="004E2142">
            <w:r>
              <w:t>To accelerate the progress</w:t>
            </w:r>
            <w:r w:rsidR="00724E7A" w:rsidRPr="004E2142">
              <w:t xml:space="preserve"> of children’s reading</w:t>
            </w:r>
            <w:r w:rsidR="004E2142" w:rsidRPr="004E2142">
              <w:t xml:space="preserve">/phonics through </w:t>
            </w:r>
            <w:r w:rsidR="004E2142" w:rsidRPr="004E2142">
              <w:lastRenderedPageBreak/>
              <w:t>interventions</w:t>
            </w:r>
            <w:r w:rsidR="004E2142">
              <w:t xml:space="preserve"> (KS1/ Reception) </w:t>
            </w:r>
          </w:p>
          <w:p w:rsidR="00FD0B63" w:rsidRDefault="00FD0B63" w:rsidP="004E2142"/>
          <w:p w:rsidR="00FD0B63" w:rsidRPr="004E2142" w:rsidRDefault="00FD0B63" w:rsidP="004E2142">
            <w:r w:rsidRPr="00FD0B63">
              <w:t>To accelerate the progress of a number of children’s mathematical skills  through interventions and support (KS1)</w:t>
            </w:r>
          </w:p>
        </w:tc>
        <w:tc>
          <w:tcPr>
            <w:tcW w:w="2442" w:type="dxa"/>
            <w:gridSpan w:val="3"/>
          </w:tcPr>
          <w:p w:rsidR="00FD0B63" w:rsidRDefault="00724E7A" w:rsidP="00CB605E">
            <w:r w:rsidRPr="004E2142">
              <w:lastRenderedPageBreak/>
              <w:t xml:space="preserve">Support staff and teachers to deliver interventions before and </w:t>
            </w:r>
            <w:r w:rsidRPr="004E2142">
              <w:lastRenderedPageBreak/>
              <w:t>during school to identified pupils.</w:t>
            </w:r>
            <w:r w:rsidR="007A7F11">
              <w:t xml:space="preserve"> </w:t>
            </w:r>
          </w:p>
          <w:p w:rsidR="007A7F11" w:rsidRDefault="007A7F11" w:rsidP="007A7F11"/>
          <w:p w:rsidR="007A7F11" w:rsidRDefault="007A7F11" w:rsidP="007A7F11"/>
          <w:p w:rsidR="007A7F11" w:rsidRDefault="007A7F11" w:rsidP="007A7F11">
            <w:r>
              <w:t xml:space="preserve">TA to work with reception </w:t>
            </w:r>
            <w:proofErr w:type="gramStart"/>
            <w:r>
              <w:t>children( 3</w:t>
            </w:r>
            <w:proofErr w:type="gramEnd"/>
            <w:r>
              <w:t xml:space="preserve"> days) to support additional phonics, reading, language work (Spring Term).</w:t>
            </w:r>
          </w:p>
          <w:p w:rsidR="007A7F11" w:rsidRDefault="007A7F11" w:rsidP="007A7F11"/>
          <w:p w:rsidR="007A7F11" w:rsidRPr="004E2142" w:rsidRDefault="007A7F11" w:rsidP="007A7F11">
            <w:r>
              <w:t xml:space="preserve">TA to work across Y1 and Y2 (5 days) delivering interventions for reading, phonics and maths. </w:t>
            </w:r>
          </w:p>
          <w:p w:rsidR="00FD0B63" w:rsidRPr="004E2142" w:rsidRDefault="00FD0B63" w:rsidP="00FD0B63"/>
        </w:tc>
        <w:tc>
          <w:tcPr>
            <w:tcW w:w="2130" w:type="dxa"/>
            <w:gridSpan w:val="3"/>
          </w:tcPr>
          <w:p w:rsidR="00724E7A" w:rsidRDefault="004E2142" w:rsidP="00653A9B">
            <w:r w:rsidRPr="004E2142">
              <w:lastRenderedPageBreak/>
              <w:t>Data from phonics baseline in Autumn.</w:t>
            </w:r>
          </w:p>
          <w:p w:rsidR="00FD0B63" w:rsidRDefault="00FD0B63" w:rsidP="00653A9B"/>
          <w:p w:rsidR="00FD0B63" w:rsidRPr="004E2142" w:rsidRDefault="00FD0B63" w:rsidP="00653A9B">
            <w:r>
              <w:lastRenderedPageBreak/>
              <w:t>Data from GL assessments WK10 and 20</w:t>
            </w:r>
          </w:p>
          <w:p w:rsidR="004E2142" w:rsidRPr="004E2142" w:rsidRDefault="004E2142" w:rsidP="00653A9B"/>
          <w:p w:rsidR="004E2142" w:rsidRPr="004E2142" w:rsidRDefault="004E2142" w:rsidP="00653A9B">
            <w:r w:rsidRPr="004E2142">
              <w:t xml:space="preserve">Ongoing teacher assessments and monitoring cycle. </w:t>
            </w:r>
          </w:p>
          <w:p w:rsidR="004E2142" w:rsidRPr="004E2142" w:rsidRDefault="004E2142" w:rsidP="00653A9B"/>
          <w:p w:rsidR="004E2142" w:rsidRPr="004E2142" w:rsidRDefault="004E2142" w:rsidP="00653A9B">
            <w:r w:rsidRPr="004E2142">
              <w:t>End of year assessments to give impact of evidence</w:t>
            </w:r>
          </w:p>
        </w:tc>
        <w:tc>
          <w:tcPr>
            <w:tcW w:w="2231" w:type="dxa"/>
            <w:gridSpan w:val="2"/>
          </w:tcPr>
          <w:p w:rsidR="00FD0B63" w:rsidRDefault="00FD0B63" w:rsidP="00653A9B">
            <w:r w:rsidRPr="00FD0B63">
              <w:rPr>
                <w:highlight w:val="yellow"/>
              </w:rPr>
              <w:lastRenderedPageBreak/>
              <w:t>£9,500</w:t>
            </w:r>
          </w:p>
          <w:p w:rsidR="00FD0B63" w:rsidRDefault="00FD0B63" w:rsidP="00653A9B">
            <w:r>
              <w:t xml:space="preserve">(cost of supply TA until summer 2021 to release Mrs Murray </w:t>
            </w:r>
            <w:r>
              <w:lastRenderedPageBreak/>
              <w:t xml:space="preserve">for interventions across KS1) </w:t>
            </w:r>
          </w:p>
          <w:p w:rsidR="00395FA3" w:rsidRDefault="00395FA3" w:rsidP="00653A9B"/>
          <w:p w:rsidR="00395FA3" w:rsidRDefault="00294E55" w:rsidP="00653A9B">
            <w:r>
              <w:rPr>
                <w:highlight w:val="yellow"/>
              </w:rPr>
              <w:t>£7, 250</w:t>
            </w:r>
            <w:r w:rsidR="00395FA3">
              <w:t xml:space="preserve"> (Cost of Mrs Ballard </w:t>
            </w:r>
            <w:r w:rsidR="00D15999">
              <w:t>for R</w:t>
            </w:r>
            <w:r w:rsidR="00395FA3">
              <w:t xml:space="preserve">eception interventions) </w:t>
            </w:r>
          </w:p>
          <w:p w:rsidR="00B102DB" w:rsidRDefault="00B102DB" w:rsidP="00653A9B"/>
          <w:p w:rsidR="00B102DB" w:rsidRPr="004E2142" w:rsidRDefault="00B102DB" w:rsidP="00653A9B"/>
        </w:tc>
        <w:tc>
          <w:tcPr>
            <w:tcW w:w="2411" w:type="dxa"/>
            <w:gridSpan w:val="3"/>
          </w:tcPr>
          <w:p w:rsidR="00724E7A" w:rsidRPr="004E2142" w:rsidRDefault="004E2142" w:rsidP="00653A9B">
            <w:r w:rsidRPr="004E2142">
              <w:lastRenderedPageBreak/>
              <w:t xml:space="preserve">KS </w:t>
            </w:r>
          </w:p>
          <w:p w:rsidR="004E2142" w:rsidRPr="004E2142" w:rsidRDefault="004E2142" w:rsidP="00653A9B"/>
          <w:p w:rsidR="004E2142" w:rsidRPr="004E2142" w:rsidRDefault="004E2142" w:rsidP="00653A9B">
            <w:r w:rsidRPr="004E2142">
              <w:t>Class teachers and TAS</w:t>
            </w:r>
          </w:p>
        </w:tc>
        <w:tc>
          <w:tcPr>
            <w:tcW w:w="2291" w:type="dxa"/>
            <w:gridSpan w:val="2"/>
          </w:tcPr>
          <w:p w:rsidR="00724E7A" w:rsidRPr="004E2142" w:rsidRDefault="00724E7A" w:rsidP="00653A9B"/>
        </w:tc>
      </w:tr>
      <w:tr w:rsidR="004E2142" w:rsidRPr="00997919" w:rsidTr="004E2142">
        <w:tc>
          <w:tcPr>
            <w:tcW w:w="2443" w:type="dxa"/>
            <w:gridSpan w:val="3"/>
          </w:tcPr>
          <w:p w:rsidR="004E2142" w:rsidRPr="004E2142" w:rsidRDefault="007A7F11" w:rsidP="007A7F11">
            <w:r>
              <w:lastRenderedPageBreak/>
              <w:t xml:space="preserve">To accelerate the progress of children’s mathematical skills through interventions </w:t>
            </w:r>
          </w:p>
        </w:tc>
        <w:tc>
          <w:tcPr>
            <w:tcW w:w="2442" w:type="dxa"/>
            <w:gridSpan w:val="3"/>
          </w:tcPr>
          <w:p w:rsidR="004E2142" w:rsidRDefault="007A7F11" w:rsidP="00CB605E">
            <w:r>
              <w:t>Accelerated Maths to be purchased and used to support children in Y5/ Y6</w:t>
            </w:r>
          </w:p>
          <w:p w:rsidR="007A7F11" w:rsidRDefault="007A7F11" w:rsidP="00CB605E"/>
          <w:p w:rsidR="007A7F11" w:rsidRDefault="007A7F11" w:rsidP="00CB605E">
            <w:r>
              <w:t>Y6 – Autumn Term</w:t>
            </w:r>
            <w:r w:rsidR="00F95EF6">
              <w:t>- Summer Term (Morning)</w:t>
            </w:r>
          </w:p>
          <w:p w:rsidR="007A7F11" w:rsidRPr="004E2142" w:rsidRDefault="007A7F11" w:rsidP="00CB605E">
            <w:r>
              <w:t>Y5- Spring Term</w:t>
            </w:r>
            <w:r w:rsidR="00F95EF6">
              <w:t xml:space="preserve"> (After School) </w:t>
            </w:r>
          </w:p>
        </w:tc>
        <w:tc>
          <w:tcPr>
            <w:tcW w:w="2130" w:type="dxa"/>
            <w:gridSpan w:val="3"/>
          </w:tcPr>
          <w:p w:rsidR="007A7F11" w:rsidRDefault="007A7F11" w:rsidP="00653A9B">
            <w:r>
              <w:t>Ongoing assessments and monitoring cycle.</w:t>
            </w:r>
          </w:p>
          <w:p w:rsidR="007A7F11" w:rsidRDefault="007A7F11" w:rsidP="00653A9B"/>
          <w:p w:rsidR="004E2142" w:rsidRPr="004E2142" w:rsidRDefault="007A7F11" w:rsidP="00653A9B">
            <w:r>
              <w:t>End of year  assessments to give impact of evidence.</w:t>
            </w:r>
          </w:p>
        </w:tc>
        <w:tc>
          <w:tcPr>
            <w:tcW w:w="2231" w:type="dxa"/>
            <w:gridSpan w:val="2"/>
          </w:tcPr>
          <w:p w:rsidR="004E2142" w:rsidRPr="004E2142" w:rsidRDefault="00A026F5" w:rsidP="00653A9B">
            <w:r w:rsidRPr="00536804">
              <w:rPr>
                <w:highlight w:val="yellow"/>
              </w:rPr>
              <w:t>£2,200</w:t>
            </w:r>
            <w:r>
              <w:t xml:space="preserve"> </w:t>
            </w:r>
          </w:p>
        </w:tc>
        <w:tc>
          <w:tcPr>
            <w:tcW w:w="2411" w:type="dxa"/>
            <w:gridSpan w:val="3"/>
          </w:tcPr>
          <w:p w:rsidR="004E2142" w:rsidRDefault="00536804" w:rsidP="00653A9B">
            <w:r>
              <w:t>CB</w:t>
            </w:r>
          </w:p>
          <w:p w:rsidR="00D15999" w:rsidRDefault="00D15999" w:rsidP="00653A9B"/>
          <w:p w:rsidR="00D15999" w:rsidRPr="004E2142" w:rsidRDefault="00D15999" w:rsidP="00653A9B">
            <w:r>
              <w:t xml:space="preserve">Teachers and Teacher Assistants </w:t>
            </w:r>
          </w:p>
        </w:tc>
        <w:tc>
          <w:tcPr>
            <w:tcW w:w="2291" w:type="dxa"/>
            <w:gridSpan w:val="2"/>
          </w:tcPr>
          <w:p w:rsidR="004E2142" w:rsidRPr="004E2142" w:rsidRDefault="004E2142" w:rsidP="00653A9B"/>
        </w:tc>
      </w:tr>
      <w:tr w:rsidR="004E2142" w:rsidRPr="00997919" w:rsidTr="004E2142">
        <w:tc>
          <w:tcPr>
            <w:tcW w:w="2443" w:type="dxa"/>
            <w:gridSpan w:val="3"/>
          </w:tcPr>
          <w:p w:rsidR="004E2142" w:rsidRPr="004E2142" w:rsidRDefault="004E2142" w:rsidP="004E2142">
            <w:r>
              <w:t>Gaps in English and Maths in upper KS2 addressed through</w:t>
            </w:r>
            <w:r w:rsidR="00536804">
              <w:t xml:space="preserve"> National </w:t>
            </w:r>
            <w:r>
              <w:t xml:space="preserve"> Tutoring Programme </w:t>
            </w:r>
            <w:r w:rsidR="00536804">
              <w:t xml:space="preserve"> (Spring  Term) </w:t>
            </w:r>
          </w:p>
        </w:tc>
        <w:tc>
          <w:tcPr>
            <w:tcW w:w="2442" w:type="dxa"/>
            <w:gridSpan w:val="3"/>
          </w:tcPr>
          <w:p w:rsidR="004E2142" w:rsidRPr="004E2142" w:rsidRDefault="004E2142" w:rsidP="00CB605E">
            <w:r>
              <w:t>Children to be placed in small groups to receive 15hrs of additional support</w:t>
            </w:r>
          </w:p>
        </w:tc>
        <w:tc>
          <w:tcPr>
            <w:tcW w:w="2130" w:type="dxa"/>
            <w:gridSpan w:val="3"/>
          </w:tcPr>
          <w:p w:rsidR="00536804" w:rsidRDefault="00536804" w:rsidP="00536804">
            <w:r>
              <w:t>C</w:t>
            </w:r>
            <w:r>
              <w:t xml:space="preserve">hildren make progress in line with </w:t>
            </w:r>
          </w:p>
          <w:p w:rsidR="004E2142" w:rsidRPr="004E2142" w:rsidRDefault="00536804" w:rsidP="00536804">
            <w:r>
              <w:t>prior attainment assessment data</w:t>
            </w:r>
          </w:p>
        </w:tc>
        <w:tc>
          <w:tcPr>
            <w:tcW w:w="2231" w:type="dxa"/>
            <w:gridSpan w:val="2"/>
          </w:tcPr>
          <w:p w:rsidR="004E2142" w:rsidRPr="004E2142" w:rsidRDefault="00536804" w:rsidP="00653A9B">
            <w:r>
              <w:t>To be confirmed</w:t>
            </w:r>
            <w:r w:rsidR="00185374">
              <w:t>????</w:t>
            </w:r>
          </w:p>
        </w:tc>
        <w:tc>
          <w:tcPr>
            <w:tcW w:w="2411" w:type="dxa"/>
            <w:gridSpan w:val="3"/>
          </w:tcPr>
          <w:p w:rsidR="004E2142" w:rsidRDefault="00536804" w:rsidP="00653A9B">
            <w:r>
              <w:t>SLT</w:t>
            </w:r>
          </w:p>
          <w:p w:rsidR="00A62195" w:rsidRDefault="00A62195" w:rsidP="00653A9B"/>
          <w:p w:rsidR="00A62195" w:rsidRPr="004E2142" w:rsidRDefault="00A62195" w:rsidP="00653A9B">
            <w:r>
              <w:t xml:space="preserve">Tutoring programme </w:t>
            </w:r>
          </w:p>
        </w:tc>
        <w:tc>
          <w:tcPr>
            <w:tcW w:w="2291" w:type="dxa"/>
            <w:gridSpan w:val="2"/>
          </w:tcPr>
          <w:p w:rsidR="004E2142" w:rsidRPr="004E2142" w:rsidRDefault="004E2142" w:rsidP="00653A9B"/>
        </w:tc>
        <w:bookmarkStart w:id="0" w:name="_GoBack"/>
        <w:bookmarkEnd w:id="0"/>
      </w:tr>
      <w:tr w:rsidR="00043346" w:rsidTr="00043346">
        <w:tc>
          <w:tcPr>
            <w:tcW w:w="13948" w:type="dxa"/>
            <w:gridSpan w:val="16"/>
            <w:shd w:val="clear" w:color="auto" w:fill="5B9BD5" w:themeFill="accent1"/>
          </w:tcPr>
          <w:p w:rsidR="00043346" w:rsidRDefault="00043346" w:rsidP="004E2142">
            <w:pPr>
              <w:jc w:val="center"/>
              <w:rPr>
                <w:b/>
              </w:rPr>
            </w:pPr>
            <w:r>
              <w:rPr>
                <w:b/>
              </w:rPr>
              <w:lastRenderedPageBreak/>
              <w:t>Wider Strategies</w:t>
            </w:r>
          </w:p>
        </w:tc>
      </w:tr>
      <w:tr w:rsidR="008B3E6B" w:rsidRPr="00997919" w:rsidTr="008B3E6B">
        <w:tc>
          <w:tcPr>
            <w:tcW w:w="2394" w:type="dxa"/>
            <w:gridSpan w:val="2"/>
            <w:shd w:val="clear" w:color="auto" w:fill="5B9BD5" w:themeFill="accent1"/>
          </w:tcPr>
          <w:p w:rsidR="008B3E6B" w:rsidRPr="00997919" w:rsidRDefault="00CB605E" w:rsidP="00653A9B">
            <w:pPr>
              <w:rPr>
                <w:b/>
              </w:rPr>
            </w:pPr>
            <w:r>
              <w:rPr>
                <w:b/>
              </w:rPr>
              <w:t>Desired Outcome</w:t>
            </w:r>
          </w:p>
        </w:tc>
        <w:tc>
          <w:tcPr>
            <w:tcW w:w="2438" w:type="dxa"/>
            <w:gridSpan w:val="3"/>
            <w:shd w:val="clear" w:color="auto" w:fill="5B9BD5" w:themeFill="accent1"/>
          </w:tcPr>
          <w:p w:rsidR="008B3E6B" w:rsidRPr="00997919" w:rsidRDefault="00CB605E" w:rsidP="00653A9B">
            <w:pPr>
              <w:rPr>
                <w:b/>
              </w:rPr>
            </w:pPr>
            <w:r>
              <w:rPr>
                <w:b/>
              </w:rPr>
              <w:t>Action</w:t>
            </w:r>
          </w:p>
        </w:tc>
        <w:tc>
          <w:tcPr>
            <w:tcW w:w="2121" w:type="dxa"/>
            <w:gridSpan w:val="3"/>
            <w:shd w:val="clear" w:color="auto" w:fill="5B9BD5" w:themeFill="accent1"/>
          </w:tcPr>
          <w:p w:rsidR="008B3E6B" w:rsidRPr="00997919" w:rsidRDefault="008B3E6B" w:rsidP="00653A9B">
            <w:pPr>
              <w:rPr>
                <w:b/>
              </w:rPr>
            </w:pPr>
            <w:r>
              <w:rPr>
                <w:b/>
              </w:rPr>
              <w:t>Evidence</w:t>
            </w:r>
          </w:p>
        </w:tc>
        <w:tc>
          <w:tcPr>
            <w:tcW w:w="2305" w:type="dxa"/>
            <w:gridSpan w:val="4"/>
            <w:shd w:val="clear" w:color="auto" w:fill="5B9BD5" w:themeFill="accent1"/>
          </w:tcPr>
          <w:p w:rsidR="008B3E6B" w:rsidRPr="00997919" w:rsidRDefault="008B3E6B" w:rsidP="00653A9B">
            <w:pPr>
              <w:rPr>
                <w:b/>
              </w:rPr>
            </w:pPr>
            <w:r w:rsidRPr="00997919">
              <w:rPr>
                <w:b/>
              </w:rPr>
              <w:t xml:space="preserve">Cost </w:t>
            </w:r>
          </w:p>
        </w:tc>
        <w:tc>
          <w:tcPr>
            <w:tcW w:w="2406" w:type="dxa"/>
            <w:gridSpan w:val="3"/>
            <w:shd w:val="clear" w:color="auto" w:fill="5B9BD5" w:themeFill="accent1"/>
          </w:tcPr>
          <w:p w:rsidR="008B3E6B" w:rsidRPr="00997919" w:rsidRDefault="008B3E6B" w:rsidP="00653A9B">
            <w:pPr>
              <w:rPr>
                <w:b/>
              </w:rPr>
            </w:pPr>
            <w:r w:rsidRPr="00997919">
              <w:rPr>
                <w:b/>
              </w:rPr>
              <w:t xml:space="preserve">Person Responsible </w:t>
            </w:r>
          </w:p>
        </w:tc>
        <w:tc>
          <w:tcPr>
            <w:tcW w:w="2284" w:type="dxa"/>
            <w:shd w:val="clear" w:color="auto" w:fill="5B9BD5" w:themeFill="accent1"/>
          </w:tcPr>
          <w:p w:rsidR="008B3E6B" w:rsidRPr="00997919" w:rsidRDefault="008B3E6B" w:rsidP="00653A9B">
            <w:pPr>
              <w:rPr>
                <w:b/>
              </w:rPr>
            </w:pPr>
            <w:r w:rsidRPr="00997919">
              <w:rPr>
                <w:b/>
              </w:rPr>
              <w:t xml:space="preserve">Impact </w:t>
            </w:r>
          </w:p>
        </w:tc>
      </w:tr>
      <w:tr w:rsidR="008B3E6B" w:rsidTr="008B3E6B">
        <w:tc>
          <w:tcPr>
            <w:tcW w:w="2394" w:type="dxa"/>
            <w:gridSpan w:val="2"/>
          </w:tcPr>
          <w:p w:rsidR="00CB605E" w:rsidRDefault="00CB605E" w:rsidP="00CB605E">
            <w:r>
              <w:t>Children to feel that they have a supportive and approachable point of contact should they feel any anxiety or in need of emotional support.</w:t>
            </w:r>
          </w:p>
          <w:p w:rsidR="008B3E6B" w:rsidRDefault="00CB605E" w:rsidP="00CB605E">
            <w:r>
              <w:t>Families feel that they are able to access support through contact with the school</w:t>
            </w:r>
          </w:p>
        </w:tc>
        <w:tc>
          <w:tcPr>
            <w:tcW w:w="2438" w:type="dxa"/>
            <w:gridSpan w:val="3"/>
          </w:tcPr>
          <w:p w:rsidR="00CB605E" w:rsidRDefault="00CB605E" w:rsidP="00CB605E">
            <w:r>
              <w:t>Supporting Mental health and Wellbeing</w:t>
            </w:r>
          </w:p>
          <w:p w:rsidR="00CB605E" w:rsidRDefault="00CB605E" w:rsidP="00CB605E">
            <w:r>
              <w:t>SLT to work alongside class teachers to establish a bespoke approach for children who may be struggling to transition back to school.</w:t>
            </w:r>
          </w:p>
          <w:p w:rsidR="00CB605E" w:rsidRDefault="00CB605E" w:rsidP="00CB605E"/>
          <w:p w:rsidR="00CB605E" w:rsidRDefault="00CB605E" w:rsidP="00CB605E">
            <w:r>
              <w:t xml:space="preserve">Caritas worker to support families and children who may be dealing with the impact of COVID- on their family life. </w:t>
            </w:r>
          </w:p>
          <w:p w:rsidR="00CB605E" w:rsidRDefault="00CB605E" w:rsidP="00CB605E"/>
          <w:p w:rsidR="00CB605E" w:rsidRDefault="00CB605E" w:rsidP="00CB605E"/>
          <w:p w:rsidR="00CB605E" w:rsidRDefault="00CB605E" w:rsidP="00CB605E">
            <w:r>
              <w:t xml:space="preserve">Kate Brown Drama to support children who have struggled with transition back to school. </w:t>
            </w:r>
          </w:p>
          <w:p w:rsidR="00CB605E" w:rsidRDefault="00CB605E" w:rsidP="00CB605E"/>
          <w:p w:rsidR="00CB605E" w:rsidRDefault="00CB605E" w:rsidP="00CB605E">
            <w:r>
              <w:t xml:space="preserve">Kate Brown to offer a drop session for upper KS2 to discuss worries and concerns. </w:t>
            </w:r>
          </w:p>
          <w:p w:rsidR="00CB605E" w:rsidRDefault="00CB605E" w:rsidP="00CB605E"/>
          <w:p w:rsidR="008B3E6B" w:rsidRDefault="00CB605E" w:rsidP="00CB605E">
            <w:r>
              <w:lastRenderedPageBreak/>
              <w:t>Kate Brown to continue with programme of work with KS2 based  on resilience and finding their baseline.</w:t>
            </w:r>
          </w:p>
        </w:tc>
        <w:tc>
          <w:tcPr>
            <w:tcW w:w="2121" w:type="dxa"/>
            <w:gridSpan w:val="3"/>
          </w:tcPr>
          <w:p w:rsidR="008B3E6B" w:rsidRDefault="008B3E6B" w:rsidP="00653A9B">
            <w:r>
              <w:lastRenderedPageBreak/>
              <w:t>Pupil voice/ survey</w:t>
            </w:r>
          </w:p>
          <w:p w:rsidR="008B3E6B" w:rsidRDefault="008B3E6B" w:rsidP="00653A9B"/>
          <w:p w:rsidR="008B3E6B" w:rsidRDefault="008B3E6B" w:rsidP="00653A9B">
            <w:r>
              <w:t>Referral to Caritas</w:t>
            </w:r>
          </w:p>
          <w:p w:rsidR="008B3E6B" w:rsidRDefault="008B3E6B" w:rsidP="00653A9B"/>
          <w:p w:rsidR="008B3E6B" w:rsidRDefault="008B3E6B" w:rsidP="00653A9B">
            <w:r>
              <w:t>Early Help Assessments.</w:t>
            </w:r>
          </w:p>
          <w:p w:rsidR="00043346" w:rsidRDefault="00043346" w:rsidP="00653A9B"/>
          <w:p w:rsidR="00043346" w:rsidRDefault="00043346" w:rsidP="00653A9B">
            <w:r>
              <w:t>Pastoral Meetings</w:t>
            </w:r>
          </w:p>
          <w:p w:rsidR="00043346" w:rsidRDefault="00043346" w:rsidP="00653A9B"/>
          <w:p w:rsidR="00043346" w:rsidRDefault="00043346" w:rsidP="00653A9B">
            <w:r>
              <w:t>CPOMS</w:t>
            </w:r>
          </w:p>
          <w:p w:rsidR="00043346" w:rsidRDefault="00043346" w:rsidP="00653A9B">
            <w:r>
              <w:t>Feedback from staff.</w:t>
            </w:r>
          </w:p>
          <w:p w:rsidR="008B3E6B" w:rsidRDefault="008B3E6B" w:rsidP="00653A9B"/>
          <w:p w:rsidR="008B3E6B" w:rsidRDefault="008B3E6B" w:rsidP="00653A9B"/>
        </w:tc>
        <w:tc>
          <w:tcPr>
            <w:tcW w:w="2305" w:type="dxa"/>
            <w:gridSpan w:val="4"/>
          </w:tcPr>
          <w:p w:rsidR="008B3E6B" w:rsidRDefault="008B3E6B" w:rsidP="00653A9B">
            <w:r>
              <w:t>(None initially)</w:t>
            </w:r>
          </w:p>
        </w:tc>
        <w:tc>
          <w:tcPr>
            <w:tcW w:w="2406" w:type="dxa"/>
            <w:gridSpan w:val="3"/>
          </w:tcPr>
          <w:p w:rsidR="008B3E6B" w:rsidRDefault="008B3E6B" w:rsidP="00653A9B">
            <w:r>
              <w:t xml:space="preserve"> SLT</w:t>
            </w:r>
          </w:p>
          <w:p w:rsidR="008B3E6B" w:rsidRDefault="008B3E6B" w:rsidP="00653A9B"/>
          <w:p w:rsidR="008B3E6B" w:rsidRDefault="008B3E6B" w:rsidP="00653A9B">
            <w:r>
              <w:t xml:space="preserve">Caritas Worker and Drama Therapist </w:t>
            </w:r>
          </w:p>
          <w:p w:rsidR="008B3E6B" w:rsidRDefault="008B3E6B" w:rsidP="00653A9B"/>
          <w:p w:rsidR="008B3E6B" w:rsidRDefault="008B3E6B" w:rsidP="00653A9B">
            <w:r>
              <w:t xml:space="preserve">Class teachers and teaching assistants. </w:t>
            </w:r>
          </w:p>
        </w:tc>
        <w:tc>
          <w:tcPr>
            <w:tcW w:w="2284" w:type="dxa"/>
          </w:tcPr>
          <w:p w:rsidR="008B3E6B" w:rsidRDefault="008B3E6B" w:rsidP="00653A9B"/>
        </w:tc>
      </w:tr>
      <w:tr w:rsidR="00D12CA3" w:rsidTr="008B3E6B">
        <w:tc>
          <w:tcPr>
            <w:tcW w:w="2394" w:type="dxa"/>
            <w:gridSpan w:val="2"/>
          </w:tcPr>
          <w:p w:rsidR="00D12CA3" w:rsidRPr="00CB605E" w:rsidRDefault="00D12CA3" w:rsidP="00D12CA3">
            <w:r w:rsidRPr="00CB605E">
              <w:lastRenderedPageBreak/>
              <w:t xml:space="preserve">Children will have greater opportunities to </w:t>
            </w:r>
            <w:r>
              <w:t>access learning at home</w:t>
            </w:r>
            <w:r w:rsidRPr="00CB605E">
              <w:t>. Children will have access to appropriate stationary and ICT equipment if needed.</w:t>
            </w:r>
          </w:p>
          <w:p w:rsidR="00D12CA3" w:rsidRPr="00043346" w:rsidRDefault="00D12CA3" w:rsidP="00D12CA3"/>
        </w:tc>
        <w:tc>
          <w:tcPr>
            <w:tcW w:w="2438" w:type="dxa"/>
            <w:gridSpan w:val="3"/>
          </w:tcPr>
          <w:p w:rsidR="00D12CA3" w:rsidRPr="00CB605E" w:rsidRDefault="00D12CA3" w:rsidP="00D12CA3">
            <w:pPr>
              <w:rPr>
                <w:u w:val="single"/>
              </w:rPr>
            </w:pPr>
            <w:r w:rsidRPr="00CB605E">
              <w:rPr>
                <w:u w:val="single"/>
              </w:rPr>
              <w:t>Supporting Remote Learning</w:t>
            </w:r>
          </w:p>
          <w:p w:rsidR="00D12CA3" w:rsidRDefault="00D12CA3" w:rsidP="00D12CA3"/>
          <w:p w:rsidR="00D12CA3" w:rsidRDefault="00D12CA3" w:rsidP="00D12CA3">
            <w:r>
              <w:t>Remote learning plan generated.</w:t>
            </w:r>
          </w:p>
          <w:p w:rsidR="00D12CA3" w:rsidRDefault="00D12CA3" w:rsidP="00D12CA3"/>
          <w:p w:rsidR="00D12CA3" w:rsidRDefault="00D12CA3" w:rsidP="00D12CA3">
            <w:r>
              <w:t>Remote Learning expectations shared with staff and relevant CPD provided.</w:t>
            </w:r>
          </w:p>
          <w:p w:rsidR="00D12CA3" w:rsidRDefault="00D12CA3" w:rsidP="00D12CA3"/>
          <w:p w:rsidR="00D12CA3" w:rsidRDefault="00D12CA3" w:rsidP="00D12CA3">
            <w:r>
              <w:t xml:space="preserve">Remote learning </w:t>
            </w:r>
            <w:proofErr w:type="gramStart"/>
            <w:r>
              <w:t>offer</w:t>
            </w:r>
            <w:proofErr w:type="gramEnd"/>
            <w:r>
              <w:t xml:space="preserve"> communicated to parents and carers.</w:t>
            </w:r>
          </w:p>
          <w:p w:rsidR="00D12CA3" w:rsidRDefault="00D12CA3" w:rsidP="00D12CA3"/>
          <w:p w:rsidR="00D12CA3" w:rsidRDefault="00D12CA3" w:rsidP="00D12CA3">
            <w:r>
              <w:t>TTRS /numberbots</w:t>
            </w:r>
          </w:p>
          <w:p w:rsidR="00D12CA3" w:rsidRDefault="00D12CA3" w:rsidP="00D12CA3">
            <w:r>
              <w:t>Spelling Shed provided to assist with remote learning</w:t>
            </w:r>
          </w:p>
          <w:p w:rsidR="00D12CA3" w:rsidRDefault="00D12CA3" w:rsidP="00D12CA3"/>
        </w:tc>
        <w:tc>
          <w:tcPr>
            <w:tcW w:w="2121" w:type="dxa"/>
            <w:gridSpan w:val="3"/>
          </w:tcPr>
          <w:p w:rsidR="00D12CA3" w:rsidRDefault="00D12CA3" w:rsidP="00D12CA3">
            <w:r>
              <w:t>Parental questionnaire – access to internet/ satisfaction regarding provision.</w:t>
            </w:r>
          </w:p>
          <w:p w:rsidR="00D12CA3" w:rsidRDefault="00D12CA3" w:rsidP="00D12CA3"/>
          <w:p w:rsidR="00D12CA3" w:rsidRDefault="00D12CA3" w:rsidP="00D12CA3">
            <w:r>
              <w:t>Level of uptake on Seesaw is monitored by the class teacher.</w:t>
            </w:r>
          </w:p>
          <w:p w:rsidR="00D12CA3" w:rsidRDefault="00D12CA3" w:rsidP="00D12CA3"/>
          <w:p w:rsidR="00D12CA3" w:rsidRDefault="00D12CA3" w:rsidP="00D12CA3">
            <w:r>
              <w:t xml:space="preserve">Welfare calls made to ensure families are able to access remote learning when needed.  </w:t>
            </w:r>
          </w:p>
        </w:tc>
        <w:tc>
          <w:tcPr>
            <w:tcW w:w="2305" w:type="dxa"/>
            <w:gridSpan w:val="4"/>
          </w:tcPr>
          <w:p w:rsidR="00D12CA3" w:rsidRDefault="000D648D" w:rsidP="00D12CA3">
            <w:r>
              <w:t xml:space="preserve">Spelling Shed </w:t>
            </w:r>
            <w:r w:rsidRPr="000D648D">
              <w:rPr>
                <w:highlight w:val="yellow"/>
              </w:rPr>
              <w:t>£270</w:t>
            </w:r>
          </w:p>
          <w:p w:rsidR="000D648D" w:rsidRDefault="000D648D" w:rsidP="00D12CA3">
            <w:r>
              <w:t xml:space="preserve">Rockstar Maths </w:t>
            </w:r>
            <w:r w:rsidRPr="000D648D">
              <w:rPr>
                <w:highlight w:val="yellow"/>
              </w:rPr>
              <w:t>£94.90</w:t>
            </w:r>
          </w:p>
          <w:p w:rsidR="000D648D" w:rsidRDefault="000D648D" w:rsidP="00D12CA3">
            <w:r>
              <w:t xml:space="preserve">Numbots </w:t>
            </w:r>
            <w:r w:rsidRPr="000D648D">
              <w:rPr>
                <w:highlight w:val="yellow"/>
              </w:rPr>
              <w:t>£57.04</w:t>
            </w:r>
          </w:p>
        </w:tc>
        <w:tc>
          <w:tcPr>
            <w:tcW w:w="2406" w:type="dxa"/>
            <w:gridSpan w:val="3"/>
          </w:tcPr>
          <w:p w:rsidR="00D12CA3" w:rsidRDefault="00D12CA3" w:rsidP="00D12CA3">
            <w:r>
              <w:t>HT and DHT</w:t>
            </w:r>
          </w:p>
          <w:p w:rsidR="00D12CA3" w:rsidRDefault="00D12CA3" w:rsidP="00D12CA3"/>
          <w:p w:rsidR="00D12CA3" w:rsidRDefault="00D12CA3" w:rsidP="00D12CA3">
            <w:r>
              <w:t xml:space="preserve">Class teachers and teaching assistants </w:t>
            </w:r>
          </w:p>
        </w:tc>
        <w:tc>
          <w:tcPr>
            <w:tcW w:w="2284" w:type="dxa"/>
          </w:tcPr>
          <w:p w:rsidR="00D12CA3" w:rsidRDefault="00D12CA3" w:rsidP="00D12CA3"/>
        </w:tc>
      </w:tr>
    </w:tbl>
    <w:p w:rsidR="00757ABE" w:rsidRDefault="00757ABE" w:rsidP="00890E34"/>
    <w:p w:rsidR="00890E34" w:rsidRDefault="00890E34" w:rsidP="00890E34"/>
    <w:sectPr w:rsidR="00890E34" w:rsidSect="00C66ED2">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2DB" w:rsidRDefault="00B102DB" w:rsidP="00711721">
      <w:pPr>
        <w:spacing w:after="0" w:line="240" w:lineRule="auto"/>
      </w:pPr>
      <w:r>
        <w:separator/>
      </w:r>
    </w:p>
  </w:endnote>
  <w:endnote w:type="continuationSeparator" w:id="0">
    <w:p w:rsidR="00B102DB" w:rsidRDefault="00B102DB" w:rsidP="0071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2DB" w:rsidRDefault="00B102DB" w:rsidP="00711721">
      <w:pPr>
        <w:spacing w:after="0" w:line="240" w:lineRule="auto"/>
      </w:pPr>
      <w:r>
        <w:separator/>
      </w:r>
    </w:p>
  </w:footnote>
  <w:footnote w:type="continuationSeparator" w:id="0">
    <w:p w:rsidR="00B102DB" w:rsidRDefault="00B102DB" w:rsidP="0071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2DB" w:rsidRDefault="00B102DB" w:rsidP="00711721">
    <w:pPr>
      <w:pStyle w:val="Header"/>
      <w:jc w:val="center"/>
    </w:pPr>
    <w:r>
      <w:rPr>
        <w:noProof/>
        <w:lang w:eastAsia="en-GB"/>
      </w:rPr>
      <w:drawing>
        <wp:inline distT="0" distB="0" distL="0" distR="0" wp14:anchorId="2E327AD2">
          <wp:extent cx="557054"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90" cy="579969"/>
                  </a:xfrm>
                  <a:prstGeom prst="rect">
                    <a:avLst/>
                  </a:prstGeom>
                  <a:noFill/>
                </pic:spPr>
              </pic:pic>
            </a:graphicData>
          </a:graphic>
        </wp:inline>
      </w:drawing>
    </w:r>
    <w:r w:rsidRPr="00711721">
      <w:rPr>
        <w:b/>
      </w:rPr>
      <w:t>Catch Up Premium Plan 2020- 2021</w:t>
    </w:r>
    <w:r>
      <w:rPr>
        <w:b/>
        <w:noProof/>
        <w:lang w:eastAsia="en-GB"/>
      </w:rPr>
      <w:drawing>
        <wp:inline distT="0" distB="0" distL="0" distR="0" wp14:anchorId="1892634B">
          <wp:extent cx="537784" cy="54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907" cy="551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01FD8"/>
    <w:multiLevelType w:val="hybridMultilevel"/>
    <w:tmpl w:val="AA00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7C2802"/>
    <w:multiLevelType w:val="hybridMultilevel"/>
    <w:tmpl w:val="C952E622"/>
    <w:lvl w:ilvl="0" w:tplc="08090001">
      <w:start w:val="1"/>
      <w:numFmt w:val="bullet"/>
      <w:lvlText w:val=""/>
      <w:lvlJc w:val="left"/>
      <w:pPr>
        <w:ind w:left="720" w:hanging="360"/>
      </w:pPr>
      <w:rPr>
        <w:rFonts w:ascii="Symbol" w:hAnsi="Symbol" w:hint="default"/>
      </w:rPr>
    </w:lvl>
    <w:lvl w:ilvl="1" w:tplc="4BFED33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8F0F71"/>
    <w:multiLevelType w:val="hybridMultilevel"/>
    <w:tmpl w:val="2B0CDB50"/>
    <w:lvl w:ilvl="0" w:tplc="04AEC78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D2"/>
    <w:rsid w:val="00043346"/>
    <w:rsid w:val="000D648D"/>
    <w:rsid w:val="00125E7E"/>
    <w:rsid w:val="00185374"/>
    <w:rsid w:val="00294E55"/>
    <w:rsid w:val="002B1154"/>
    <w:rsid w:val="002D76D7"/>
    <w:rsid w:val="003065C9"/>
    <w:rsid w:val="00337244"/>
    <w:rsid w:val="00395FA3"/>
    <w:rsid w:val="003B5962"/>
    <w:rsid w:val="004B6B08"/>
    <w:rsid w:val="004E2142"/>
    <w:rsid w:val="00536804"/>
    <w:rsid w:val="00561F1E"/>
    <w:rsid w:val="00653A9B"/>
    <w:rsid w:val="00711721"/>
    <w:rsid w:val="00724E7A"/>
    <w:rsid w:val="00757ABE"/>
    <w:rsid w:val="007A7F11"/>
    <w:rsid w:val="007B6EFD"/>
    <w:rsid w:val="007C04B2"/>
    <w:rsid w:val="00850570"/>
    <w:rsid w:val="00890E34"/>
    <w:rsid w:val="008B3E6B"/>
    <w:rsid w:val="008B6043"/>
    <w:rsid w:val="008C434B"/>
    <w:rsid w:val="009306C9"/>
    <w:rsid w:val="00997919"/>
    <w:rsid w:val="009A1E38"/>
    <w:rsid w:val="009B44B8"/>
    <w:rsid w:val="00A026F5"/>
    <w:rsid w:val="00A2510C"/>
    <w:rsid w:val="00A548D5"/>
    <w:rsid w:val="00A62195"/>
    <w:rsid w:val="00B102DB"/>
    <w:rsid w:val="00B46229"/>
    <w:rsid w:val="00B56597"/>
    <w:rsid w:val="00C66ED2"/>
    <w:rsid w:val="00CB605E"/>
    <w:rsid w:val="00D12CA3"/>
    <w:rsid w:val="00D15999"/>
    <w:rsid w:val="00D27574"/>
    <w:rsid w:val="00DC0917"/>
    <w:rsid w:val="00E47B84"/>
    <w:rsid w:val="00F95EF6"/>
    <w:rsid w:val="00FD0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184EF9"/>
  <w15:chartTrackingRefBased/>
  <w15:docId w15:val="{F5134A22-24C7-42F8-98C6-79843258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34B"/>
    <w:pPr>
      <w:ind w:left="720"/>
      <w:contextualSpacing/>
    </w:pPr>
  </w:style>
  <w:style w:type="paragraph" w:styleId="Header">
    <w:name w:val="header"/>
    <w:basedOn w:val="Normal"/>
    <w:link w:val="HeaderChar"/>
    <w:uiPriority w:val="99"/>
    <w:unhideWhenUsed/>
    <w:rsid w:val="0071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721"/>
  </w:style>
  <w:style w:type="paragraph" w:styleId="Footer">
    <w:name w:val="footer"/>
    <w:basedOn w:val="Normal"/>
    <w:link w:val="FooterChar"/>
    <w:uiPriority w:val="99"/>
    <w:unhideWhenUsed/>
    <w:rsid w:val="0071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2328</TotalTime>
  <Pages>6</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Seaborn</dc:creator>
  <cp:keywords/>
  <dc:description/>
  <cp:lastModifiedBy>K Seaborn</cp:lastModifiedBy>
  <cp:revision>3</cp:revision>
  <dcterms:created xsi:type="dcterms:W3CDTF">2021-03-17T15:46:00Z</dcterms:created>
  <dcterms:modified xsi:type="dcterms:W3CDTF">2021-03-23T09:49:00Z</dcterms:modified>
</cp:coreProperties>
</file>