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FC8" w:rsidRPr="00DA55C6" w:rsidRDefault="00857B62" w:rsidP="00857B62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DA55C6">
        <w:rPr>
          <w:rFonts w:ascii="Arial" w:hAnsi="Arial" w:cs="Arial"/>
          <w:b/>
          <w:sz w:val="24"/>
          <w:szCs w:val="24"/>
        </w:rPr>
        <w:t>Covid</w:t>
      </w:r>
      <w:proofErr w:type="spellEnd"/>
      <w:r w:rsidRPr="00DA55C6">
        <w:rPr>
          <w:rFonts w:ascii="Arial" w:hAnsi="Arial" w:cs="Arial"/>
          <w:b/>
          <w:sz w:val="24"/>
          <w:szCs w:val="24"/>
        </w:rPr>
        <w:t xml:space="preserve"> Procedures January 2022</w:t>
      </w:r>
    </w:p>
    <w:p w:rsidR="00857B62" w:rsidRPr="00DA55C6" w:rsidRDefault="00857B62" w:rsidP="00857B62">
      <w:pPr>
        <w:jc w:val="center"/>
        <w:rPr>
          <w:rFonts w:ascii="Arial" w:hAnsi="Arial" w:cs="Arial"/>
          <w:b/>
        </w:rPr>
      </w:pPr>
    </w:p>
    <w:p w:rsidR="00857B62" w:rsidRPr="00DA55C6" w:rsidRDefault="00857B62" w:rsidP="00857B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55C6">
        <w:rPr>
          <w:rFonts w:ascii="Arial" w:hAnsi="Arial" w:cs="Arial"/>
        </w:rPr>
        <w:t xml:space="preserve">Get a supply of lateral flow </w:t>
      </w:r>
      <w:proofErr w:type="gramStart"/>
      <w:r w:rsidRPr="00DA55C6">
        <w:rPr>
          <w:rFonts w:ascii="Arial" w:hAnsi="Arial" w:cs="Arial"/>
        </w:rPr>
        <w:t>tests(</w:t>
      </w:r>
      <w:proofErr w:type="spellStart"/>
      <w:proofErr w:type="gramEnd"/>
      <w:r w:rsidRPr="00DA55C6">
        <w:rPr>
          <w:rFonts w:ascii="Arial" w:hAnsi="Arial" w:cs="Arial"/>
        </w:rPr>
        <w:t>lft</w:t>
      </w:r>
      <w:proofErr w:type="spellEnd"/>
      <w:r w:rsidRPr="00DA55C6">
        <w:rPr>
          <w:rFonts w:ascii="Arial" w:hAnsi="Arial" w:cs="Arial"/>
        </w:rPr>
        <w:t>) from a pharmacy or online, you will need them at some point.</w:t>
      </w:r>
    </w:p>
    <w:p w:rsidR="00857B62" w:rsidRPr="00DA55C6" w:rsidRDefault="00857B62" w:rsidP="00857B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55C6">
        <w:rPr>
          <w:rFonts w:ascii="Arial" w:hAnsi="Arial" w:cs="Arial"/>
        </w:rPr>
        <w:t>If someone in your household tests positive, then your child will be a close contact and should be tested every day for 7 days</w:t>
      </w:r>
      <w:r w:rsidR="00F633FD" w:rsidRPr="00DA55C6">
        <w:rPr>
          <w:rFonts w:ascii="Arial" w:hAnsi="Arial" w:cs="Arial"/>
        </w:rPr>
        <w:t xml:space="preserve"> (use </w:t>
      </w:r>
      <w:proofErr w:type="spellStart"/>
      <w:proofErr w:type="gramStart"/>
      <w:r w:rsidR="00F633FD" w:rsidRPr="00DA55C6">
        <w:rPr>
          <w:rFonts w:ascii="Arial" w:hAnsi="Arial" w:cs="Arial"/>
        </w:rPr>
        <w:t>lft</w:t>
      </w:r>
      <w:proofErr w:type="spellEnd"/>
      <w:r w:rsidR="00F633FD" w:rsidRPr="00DA55C6">
        <w:rPr>
          <w:rFonts w:ascii="Arial" w:hAnsi="Arial" w:cs="Arial"/>
        </w:rPr>
        <w:t xml:space="preserve"> )</w:t>
      </w:r>
      <w:proofErr w:type="gramEnd"/>
      <w:r w:rsidRPr="00DA55C6">
        <w:rPr>
          <w:rFonts w:ascii="Arial" w:hAnsi="Arial" w:cs="Arial"/>
        </w:rPr>
        <w:t xml:space="preserve">. </w:t>
      </w:r>
      <w:r w:rsidR="00A82304" w:rsidRPr="00DA55C6">
        <w:rPr>
          <w:rFonts w:ascii="Arial" w:hAnsi="Arial" w:cs="Arial"/>
        </w:rPr>
        <w:t>This advice is for Reception to Y6.</w:t>
      </w:r>
    </w:p>
    <w:p w:rsidR="00857B62" w:rsidRPr="00DA55C6" w:rsidRDefault="00857B62" w:rsidP="00857B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55C6">
        <w:rPr>
          <w:rFonts w:ascii="Arial" w:hAnsi="Arial" w:cs="Arial"/>
        </w:rPr>
        <w:t xml:space="preserve">If they then test positive and they haven’t had any symptoms, their day 1 is the day that they had the positive test. If they have symptoms (new cough, temperature, </w:t>
      </w:r>
      <w:proofErr w:type="gramStart"/>
      <w:r w:rsidRPr="00DA55C6">
        <w:rPr>
          <w:rFonts w:ascii="Arial" w:hAnsi="Arial" w:cs="Arial"/>
        </w:rPr>
        <w:t>loss</w:t>
      </w:r>
      <w:proofErr w:type="gramEnd"/>
      <w:r w:rsidRPr="00DA55C6">
        <w:rPr>
          <w:rFonts w:ascii="Arial" w:hAnsi="Arial" w:cs="Arial"/>
        </w:rPr>
        <w:t xml:space="preserve"> of taste or smell) then day one is the day that these symptoms started.</w:t>
      </w:r>
      <w:r w:rsidR="00F46BF9">
        <w:rPr>
          <w:rFonts w:ascii="Arial" w:hAnsi="Arial" w:cs="Arial"/>
        </w:rPr>
        <w:t xml:space="preserve">  If they test negative, they can come to school.</w:t>
      </w:r>
    </w:p>
    <w:p w:rsidR="00A82304" w:rsidRPr="00DA55C6" w:rsidRDefault="00A82304" w:rsidP="00857B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55C6">
        <w:rPr>
          <w:rFonts w:ascii="Arial" w:hAnsi="Arial" w:cs="Arial"/>
        </w:rPr>
        <w:t>If your child is not a close contact but has symptoms, keep them off school and do a lateral flow test. If negative then come to school, if positive, follow the instructions below. This advice is for Nursery to Y6</w:t>
      </w:r>
    </w:p>
    <w:p w:rsidR="00857B62" w:rsidRPr="00DA55C6" w:rsidRDefault="00857B62" w:rsidP="00857B6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DA55C6">
        <w:rPr>
          <w:rFonts w:ascii="Arial" w:hAnsi="Arial" w:cs="Arial"/>
        </w:rPr>
        <w:t>Knowing day 1 is important as this will tell you when the isolation period will end:</w:t>
      </w:r>
    </w:p>
    <w:tbl>
      <w:tblPr>
        <w:tblStyle w:val="TableGrid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870"/>
        <w:gridCol w:w="1265"/>
        <w:gridCol w:w="1266"/>
        <w:gridCol w:w="1266"/>
        <w:gridCol w:w="1265"/>
        <w:gridCol w:w="1266"/>
        <w:gridCol w:w="1266"/>
        <w:gridCol w:w="1265"/>
        <w:gridCol w:w="1266"/>
        <w:gridCol w:w="1266"/>
        <w:gridCol w:w="1266"/>
      </w:tblGrid>
      <w:tr w:rsidR="00C4085C" w:rsidRPr="00DA55C6" w:rsidTr="00C4085C">
        <w:tc>
          <w:tcPr>
            <w:tcW w:w="870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Day</w:t>
            </w:r>
          </w:p>
        </w:tc>
        <w:tc>
          <w:tcPr>
            <w:tcW w:w="1265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1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2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3</w:t>
            </w:r>
          </w:p>
        </w:tc>
        <w:tc>
          <w:tcPr>
            <w:tcW w:w="1265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4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5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6</w:t>
            </w:r>
          </w:p>
        </w:tc>
        <w:tc>
          <w:tcPr>
            <w:tcW w:w="1265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7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8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9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10</w:t>
            </w:r>
          </w:p>
        </w:tc>
      </w:tr>
      <w:tr w:rsidR="00C4085C" w:rsidRPr="00DA55C6" w:rsidTr="00C4085C">
        <w:tc>
          <w:tcPr>
            <w:tcW w:w="870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Positive test or first symptom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Lateral flow test</w:t>
            </w:r>
          </w:p>
        </w:tc>
        <w:tc>
          <w:tcPr>
            <w:tcW w:w="1265" w:type="dxa"/>
          </w:tcPr>
          <w:p w:rsidR="00857B62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Lateral flow test 24 hours after day 6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</w:tr>
      <w:tr w:rsidR="00C4085C" w:rsidRPr="00DA55C6" w:rsidTr="00C4085C">
        <w:tc>
          <w:tcPr>
            <w:tcW w:w="870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What to do</w:t>
            </w:r>
          </w:p>
        </w:tc>
        <w:tc>
          <w:tcPr>
            <w:tcW w:w="1265" w:type="dxa"/>
          </w:tcPr>
          <w:p w:rsidR="00857B62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Call school;</w:t>
            </w:r>
          </w:p>
          <w:p w:rsidR="00C4085C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isolate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5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If negative, take a test tomorrow</w:t>
            </w:r>
          </w:p>
          <w:p w:rsidR="00C4085C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If positive continue to isolate until day 10</w:t>
            </w:r>
          </w:p>
        </w:tc>
        <w:tc>
          <w:tcPr>
            <w:tcW w:w="1265" w:type="dxa"/>
          </w:tcPr>
          <w:p w:rsidR="00857B62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If also negative,</w:t>
            </w:r>
          </w:p>
          <w:p w:rsidR="00C4085C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Return to school on day 8</w:t>
            </w: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857B62" w:rsidP="00857B62">
            <w:pPr>
              <w:rPr>
                <w:rFonts w:ascii="Arial" w:hAnsi="Arial" w:cs="Arial"/>
              </w:rPr>
            </w:pPr>
          </w:p>
        </w:tc>
        <w:tc>
          <w:tcPr>
            <w:tcW w:w="1266" w:type="dxa"/>
          </w:tcPr>
          <w:p w:rsidR="00857B62" w:rsidRPr="00DA55C6" w:rsidRDefault="00C4085C" w:rsidP="00857B62">
            <w:pPr>
              <w:rPr>
                <w:rFonts w:ascii="Arial" w:hAnsi="Arial" w:cs="Arial"/>
              </w:rPr>
            </w:pPr>
            <w:r w:rsidRPr="00DA55C6">
              <w:rPr>
                <w:rFonts w:ascii="Arial" w:hAnsi="Arial" w:cs="Arial"/>
              </w:rPr>
              <w:t>Isolation ends, return to school tomorrow</w:t>
            </w:r>
          </w:p>
        </w:tc>
      </w:tr>
    </w:tbl>
    <w:p w:rsidR="00857B62" w:rsidRPr="00DA55C6" w:rsidRDefault="00857B62" w:rsidP="00857B62">
      <w:pPr>
        <w:ind w:left="360"/>
        <w:rPr>
          <w:rFonts w:ascii="Arial" w:hAnsi="Arial" w:cs="Arial"/>
        </w:rPr>
      </w:pPr>
    </w:p>
    <w:p w:rsidR="00C4085C" w:rsidRPr="00DA55C6" w:rsidRDefault="00C4085C" w:rsidP="00C4085C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DA55C6">
        <w:rPr>
          <w:rFonts w:ascii="Arial" w:hAnsi="Arial" w:cs="Arial"/>
          <w:b/>
        </w:rPr>
        <w:t>Close contacts</w:t>
      </w:r>
    </w:p>
    <w:p w:rsidR="00DA55C6" w:rsidRPr="009C48E9" w:rsidRDefault="00C4085C" w:rsidP="009C48E9">
      <w:pPr>
        <w:pStyle w:val="ListParagraph"/>
        <w:rPr>
          <w:rFonts w:ascii="Arial" w:hAnsi="Arial" w:cs="Arial"/>
        </w:rPr>
      </w:pPr>
      <w:r w:rsidRPr="00DA55C6">
        <w:rPr>
          <w:rFonts w:ascii="Arial" w:hAnsi="Arial" w:cs="Arial"/>
        </w:rPr>
        <w:t>If we have a positive case in your child’s class, then your child will be a close con</w:t>
      </w:r>
      <w:r w:rsidR="007C4D03" w:rsidRPr="00DA55C6">
        <w:rPr>
          <w:rFonts w:ascii="Arial" w:hAnsi="Arial" w:cs="Arial"/>
        </w:rPr>
        <w:t>tact and, as in point 2, they will need to do a daily lateral flow test before coming to school to make sure that they are not positive. A negative test will make mean your child can come to school.</w:t>
      </w:r>
      <w:r w:rsidR="00F633FD" w:rsidRPr="00DA55C6">
        <w:rPr>
          <w:rFonts w:ascii="Arial" w:hAnsi="Arial" w:cs="Arial"/>
        </w:rPr>
        <w:t xml:space="preserve"> Please report the results of this test to the NHS online and then send the confirmation that you get from them to </w:t>
      </w:r>
      <w:hyperlink r:id="rId6" w:history="1">
        <w:r w:rsidR="00F633FD" w:rsidRPr="00DA55C6">
          <w:rPr>
            <w:rStyle w:val="Hyperlink"/>
            <w:rFonts w:ascii="Arial" w:hAnsi="Arial" w:cs="Arial"/>
          </w:rPr>
          <w:t>admin@mountcarmel.manchester.sch.uk</w:t>
        </w:r>
      </w:hyperlink>
      <w:r w:rsidR="00F633FD" w:rsidRPr="00DA55C6">
        <w:rPr>
          <w:rFonts w:ascii="Arial" w:hAnsi="Arial" w:cs="Arial"/>
        </w:rPr>
        <w:t xml:space="preserve"> before coming to school.</w:t>
      </w:r>
      <w:bookmarkStart w:id="0" w:name="_GoBack"/>
      <w:bookmarkEnd w:id="0"/>
    </w:p>
    <w:sectPr w:rsidR="00DA55C6" w:rsidRPr="009C48E9" w:rsidSect="00C4085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A732B"/>
    <w:multiLevelType w:val="hybridMultilevel"/>
    <w:tmpl w:val="5462C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B62"/>
    <w:rsid w:val="00151FC8"/>
    <w:rsid w:val="007C4D03"/>
    <w:rsid w:val="00857B62"/>
    <w:rsid w:val="009C48E9"/>
    <w:rsid w:val="00A82304"/>
    <w:rsid w:val="00C4085C"/>
    <w:rsid w:val="00DA55C6"/>
    <w:rsid w:val="00E00CD6"/>
    <w:rsid w:val="00F46BF9"/>
    <w:rsid w:val="00F6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62"/>
    <w:pPr>
      <w:ind w:left="720"/>
      <w:contextualSpacing/>
    </w:pPr>
  </w:style>
  <w:style w:type="table" w:styleId="TableGrid">
    <w:name w:val="Table Grid"/>
    <w:basedOn w:val="TableNormal"/>
    <w:uiPriority w:val="39"/>
    <w:rsid w:val="0085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33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7B62"/>
    <w:pPr>
      <w:ind w:left="720"/>
      <w:contextualSpacing/>
    </w:pPr>
  </w:style>
  <w:style w:type="table" w:styleId="TableGrid">
    <w:name w:val="Table Grid"/>
    <w:basedOn w:val="TableNormal"/>
    <w:uiPriority w:val="39"/>
    <w:rsid w:val="00857B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633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mountcarmel.manchester.sch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Potts</dc:creator>
  <cp:keywords/>
  <dc:description/>
  <cp:lastModifiedBy>C Clancy</cp:lastModifiedBy>
  <cp:revision>7</cp:revision>
  <dcterms:created xsi:type="dcterms:W3CDTF">2022-01-06T12:34:00Z</dcterms:created>
  <dcterms:modified xsi:type="dcterms:W3CDTF">2022-01-10T11:45:00Z</dcterms:modified>
</cp:coreProperties>
</file>